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47" w:line="265" w:lineRule="auto"/>
        <w:ind w:left="264" w:right="358" w:firstLine="0"/>
        <w:jc w:val="center"/>
        <w:rPr>
          <w:rFonts w:ascii="Times New Roman" w:hAnsi="Times New Roman" w:eastAsia="Times New Roman" w:cs="Times New Roman"/>
        </w:rPr>
      </w:pPr>
      <w:bookmarkStart w:id="2" w:name="_GoBack"/>
      <w:bookmarkEnd w:id="2"/>
      <w:r>
        <w:rPr>
          <w:rFonts w:ascii="Times New Roman" w:hAnsi="Times New Roman" w:eastAsia="Times New Roman" w:cs="Times New Roman"/>
          <w:b/>
          <w:rtl w:val="0"/>
        </w:rPr>
        <w:t>PENGGUNAAN MEDIA BAHAN BEKAS UNTUK MENINGKATKAN</w:t>
      </w:r>
      <w:r>
        <w:rPr>
          <w:rFonts w:ascii="Times New Roman" w:hAnsi="Times New Roman" w:eastAsia="Times New Roman" w:cs="Times New Roman"/>
          <w:rtl w:val="0"/>
        </w:rPr>
        <w:t xml:space="preserve"> </w:t>
      </w:r>
      <w:r>
        <w:rPr>
          <w:rFonts w:ascii="Times New Roman" w:hAnsi="Times New Roman" w:eastAsia="Times New Roman" w:cs="Times New Roman"/>
          <w:b/>
          <w:rtl w:val="0"/>
        </w:rPr>
        <w:t>KEMAMPUAN MOTORIK HALUS ANAK 4-5 TAHUN DI PAUD AN-NUR TANJUNG JABUNG TIMUR</w:t>
      </w:r>
    </w:p>
    <w:p w14:paraId="00000002">
      <w:pPr>
        <w:spacing w:after="0" w:line="360" w:lineRule="auto"/>
        <w:rPr>
          <w:rFonts w:ascii="Times New Roman" w:hAnsi="Times New Roman" w:eastAsia="Times New Roman" w:cs="Times New Roman"/>
          <w:b/>
          <w:sz w:val="22"/>
          <w:szCs w:val="22"/>
        </w:rPr>
      </w:pPr>
    </w:p>
    <w:p w14:paraId="00000003">
      <w:pPr>
        <w:spacing w:after="0" w:line="240" w:lineRule="auto"/>
        <w:jc w:val="center"/>
        <w:rPr>
          <w:rFonts w:ascii="Times New Roman" w:hAnsi="Times New Roman" w:eastAsia="Times New Roman" w:cs="Times New Roman"/>
          <w:b/>
          <w:sz w:val="22"/>
          <w:szCs w:val="22"/>
          <w:vertAlign w:val="superscript"/>
        </w:rPr>
      </w:pPr>
      <w:r>
        <w:rPr>
          <w:rFonts w:ascii="Times New Roman" w:hAnsi="Times New Roman" w:eastAsia="Times New Roman" w:cs="Times New Roman"/>
          <w:b/>
          <w:sz w:val="22"/>
          <w:szCs w:val="22"/>
          <w:rtl w:val="0"/>
        </w:rPr>
        <w:t>Maspupah</w:t>
      </w:r>
      <w:r>
        <w:rPr>
          <w:rFonts w:ascii="Times New Roman" w:hAnsi="Times New Roman" w:eastAsia="Times New Roman" w:cs="Times New Roman"/>
          <w:b/>
          <w:sz w:val="22"/>
          <w:szCs w:val="22"/>
          <w:vertAlign w:val="superscript"/>
          <w:rtl w:val="0"/>
        </w:rPr>
        <w:t>1</w:t>
      </w:r>
      <w:r>
        <w:rPr>
          <w:rFonts w:ascii="Times New Roman" w:hAnsi="Times New Roman" w:eastAsia="Times New Roman" w:cs="Times New Roman"/>
          <w:b/>
          <w:sz w:val="22"/>
          <w:szCs w:val="22"/>
          <w:rtl w:val="0"/>
        </w:rPr>
        <w:t>, Fitriah</w:t>
      </w:r>
      <w:r>
        <w:rPr>
          <w:rFonts w:ascii="Times New Roman" w:hAnsi="Times New Roman" w:eastAsia="Times New Roman" w:cs="Times New Roman"/>
          <w:b/>
          <w:sz w:val="22"/>
          <w:szCs w:val="22"/>
          <w:vertAlign w:val="superscript"/>
          <w:rtl w:val="0"/>
        </w:rPr>
        <w:t>2</w:t>
      </w:r>
      <w:r>
        <w:rPr>
          <w:rFonts w:ascii="Times New Roman" w:hAnsi="Times New Roman" w:eastAsia="Times New Roman" w:cs="Times New Roman"/>
          <w:b/>
          <w:sz w:val="22"/>
          <w:szCs w:val="22"/>
          <w:rtl w:val="0"/>
        </w:rPr>
        <w:t>, Mastikawati</w:t>
      </w:r>
      <w:r>
        <w:rPr>
          <w:rFonts w:ascii="Times New Roman" w:hAnsi="Times New Roman" w:eastAsia="Times New Roman" w:cs="Times New Roman"/>
          <w:b/>
          <w:sz w:val="22"/>
          <w:szCs w:val="22"/>
          <w:vertAlign w:val="superscript"/>
          <w:rtl w:val="0"/>
        </w:rPr>
        <w:t>3</w:t>
      </w:r>
      <w:r>
        <w:rPr>
          <w:rFonts w:ascii="Times New Roman" w:hAnsi="Times New Roman" w:eastAsia="Times New Roman" w:cs="Times New Roman"/>
          <w:b/>
          <w:sz w:val="22"/>
          <w:szCs w:val="22"/>
          <w:rtl w:val="0"/>
        </w:rPr>
        <w:t>, Amiroh</w:t>
      </w:r>
      <w:r>
        <w:rPr>
          <w:rFonts w:ascii="Times New Roman" w:hAnsi="Times New Roman" w:eastAsia="Times New Roman" w:cs="Times New Roman"/>
          <w:b/>
          <w:sz w:val="22"/>
          <w:szCs w:val="22"/>
          <w:vertAlign w:val="superscript"/>
          <w:rtl w:val="0"/>
        </w:rPr>
        <w:t>4</w:t>
      </w:r>
      <w:r>
        <w:rPr>
          <w:rFonts w:ascii="Times New Roman" w:hAnsi="Times New Roman" w:eastAsia="Times New Roman" w:cs="Times New Roman"/>
          <w:b/>
          <w:sz w:val="22"/>
          <w:szCs w:val="22"/>
          <w:rtl w:val="0"/>
        </w:rPr>
        <w:t>, Azwir</w:t>
      </w:r>
      <w:r>
        <w:rPr>
          <w:rFonts w:ascii="Times New Roman" w:hAnsi="Times New Roman" w:eastAsia="Times New Roman" w:cs="Times New Roman"/>
          <w:b/>
          <w:sz w:val="22"/>
          <w:szCs w:val="22"/>
          <w:vertAlign w:val="superscript"/>
          <w:rtl w:val="0"/>
        </w:rPr>
        <w:t>5</w:t>
      </w:r>
    </w:p>
    <w:p w14:paraId="00000004">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vertAlign w:val="superscript"/>
          <w:rtl w:val="0"/>
        </w:rPr>
        <w:t>1,2,3,4,5</w:t>
      </w:r>
      <w:r>
        <w:rPr>
          <w:rFonts w:ascii="Times New Roman" w:hAnsi="Times New Roman" w:eastAsia="Times New Roman" w:cs="Times New Roman"/>
          <w:sz w:val="22"/>
          <w:szCs w:val="22"/>
          <w:rtl w:val="0"/>
        </w:rPr>
        <w:t>Institut Agama Islam Muhammad Azim Jambi</w:t>
      </w:r>
    </w:p>
    <w:p w14:paraId="00000005">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Email: </w:t>
      </w:r>
      <w:r>
        <w:rPr>
          <w:rFonts w:ascii="Times New Roman" w:hAnsi="Times New Roman" w:eastAsia="Times New Roman" w:cs="Times New Roman"/>
          <w:color w:val="0563C1"/>
          <w:sz w:val="22"/>
          <w:szCs w:val="22"/>
          <w:u w:val="single"/>
          <w:rtl w:val="0"/>
        </w:rPr>
        <w:t>fitriah.fit1@gmail.com</w:t>
      </w:r>
    </w:p>
    <w:p w14:paraId="00000006">
      <w:pPr>
        <w:spacing w:after="0" w:line="360" w:lineRule="auto"/>
        <w:rPr>
          <w:rFonts w:ascii="Times New Roman" w:hAnsi="Times New Roman" w:eastAsia="Times New Roman" w:cs="Times New Roman"/>
          <w:sz w:val="22"/>
          <w:szCs w:val="22"/>
        </w:rPr>
      </w:pPr>
    </w:p>
    <w:p w14:paraId="00000007">
      <w:pPr>
        <w:spacing w:after="0" w:line="360" w:lineRule="auto"/>
        <w:ind w:left="284" w:right="283" w:firstLine="0"/>
        <w:jc w:val="center"/>
        <w:rPr>
          <w:rFonts w:ascii="Times New Roman" w:hAnsi="Times New Roman" w:eastAsia="Times New Roman" w:cs="Times New Roman"/>
          <w:b/>
          <w:sz w:val="22"/>
          <w:szCs w:val="22"/>
        </w:rPr>
      </w:pPr>
      <w:bookmarkStart w:id="0" w:name="_heading=h.2gxdgwn8zrw6" w:colFirst="0" w:colLast="0"/>
      <w:bookmarkEnd w:id="0"/>
      <w:r>
        <w:rPr>
          <w:rFonts w:ascii="Times New Roman" w:hAnsi="Times New Roman" w:eastAsia="Times New Roman" w:cs="Times New Roman"/>
          <w:b/>
          <w:sz w:val="22"/>
          <w:szCs w:val="22"/>
          <w:rtl w:val="0"/>
        </w:rPr>
        <w:t>ABSTRAK</w:t>
      </w:r>
    </w:p>
    <w:p w14:paraId="00000008">
      <w:pPr>
        <w:spacing w:after="243"/>
        <w:ind w:left="-5" w:right="0" w:firstLine="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Penelitian ini bertujuan untuk meningkatkan kemampuan motorik halus anak  4-5 tahun di PAUD An-Nur Tanjung Jabung Timur melalui penggunaan media bahan bekas. Penelitian ini menggunakan metode tindakan kelas dengan dua siklus, yang masing-masing terdiri dari tiga pertemuan. Setiap siklus melibatkan kegiatan menggunting dan menempel menggunakan bahan bekas seperti kertas, kardus, dan botol plastik. Subjek penelitian berjumlah 10 anak. Hasil penelitian menunjukkan peningkatan kemampuan motorik halus pada setiap siklus. Pada siklus pertama, 50% anak berada pada kategori </w:t>
      </w:r>
      <w:r>
        <w:rPr>
          <w:rFonts w:ascii="Times New Roman" w:hAnsi="Times New Roman" w:eastAsia="Times New Roman" w:cs="Times New Roman"/>
          <w:b/>
          <w:sz w:val="22"/>
          <w:szCs w:val="22"/>
          <w:rtl w:val="0"/>
        </w:rPr>
        <w:t>Mulai Berkembang</w:t>
      </w:r>
      <w:r>
        <w:rPr>
          <w:rFonts w:ascii="Times New Roman" w:hAnsi="Times New Roman" w:eastAsia="Times New Roman" w:cs="Times New Roman"/>
          <w:sz w:val="22"/>
          <w:szCs w:val="22"/>
          <w:rtl w:val="0"/>
        </w:rPr>
        <w:t xml:space="preserve"> dalam keterampilan menggunting dan 30% berada pada kategori </w:t>
      </w:r>
      <w:r>
        <w:rPr>
          <w:rFonts w:ascii="Times New Roman" w:hAnsi="Times New Roman" w:eastAsia="Times New Roman" w:cs="Times New Roman"/>
          <w:b/>
          <w:sz w:val="22"/>
          <w:szCs w:val="22"/>
          <w:rtl w:val="0"/>
        </w:rPr>
        <w:t>Berkembang Sesuai Harapan</w:t>
      </w:r>
      <w:r>
        <w:rPr>
          <w:rFonts w:ascii="Times New Roman" w:hAnsi="Times New Roman" w:eastAsia="Times New Roman" w:cs="Times New Roman"/>
          <w:sz w:val="22"/>
          <w:szCs w:val="22"/>
          <w:rtl w:val="0"/>
        </w:rPr>
        <w:t xml:space="preserve">. Pada siklus kedua, keterampilan menggunting meningkat dengan 70% anak berada pada kategori </w:t>
      </w:r>
      <w:r>
        <w:rPr>
          <w:rFonts w:ascii="Times New Roman" w:hAnsi="Times New Roman" w:eastAsia="Times New Roman" w:cs="Times New Roman"/>
          <w:b/>
          <w:sz w:val="22"/>
          <w:szCs w:val="22"/>
          <w:rtl w:val="0"/>
        </w:rPr>
        <w:t>Berkembang Sangat Baik</w:t>
      </w:r>
      <w:r>
        <w:rPr>
          <w:rFonts w:ascii="Times New Roman" w:hAnsi="Times New Roman" w:eastAsia="Times New Roman" w:cs="Times New Roman"/>
          <w:sz w:val="22"/>
          <w:szCs w:val="22"/>
          <w:rtl w:val="0"/>
        </w:rPr>
        <w:t xml:space="preserve">. Keterampilan menempel juga mengalami peningkatan, dengan 80% anak mencapai kategori </w:t>
      </w:r>
      <w:r>
        <w:rPr>
          <w:rFonts w:ascii="Times New Roman" w:hAnsi="Times New Roman" w:eastAsia="Times New Roman" w:cs="Times New Roman"/>
          <w:b/>
          <w:sz w:val="22"/>
          <w:szCs w:val="22"/>
          <w:rtl w:val="0"/>
        </w:rPr>
        <w:t>Berkembang Sangat Baik</w:t>
      </w:r>
      <w:r>
        <w:rPr>
          <w:rFonts w:ascii="Times New Roman" w:hAnsi="Times New Roman" w:eastAsia="Times New Roman" w:cs="Times New Roman"/>
          <w:sz w:val="22"/>
          <w:szCs w:val="22"/>
          <w:rtl w:val="0"/>
        </w:rPr>
        <w:t xml:space="preserve"> pada siklus kedua. Kesimpulan dari penelitian ini adalah bahwa penggunaan media bahan bekas dapat meningkatkan kemampuan motorik halus anak usia dini, serta mendorong kreativitas dan kesadaran lingkungan. Disarankan agar penggunaan bahan bekas diterapkan lebih luas di PAUD untuk mendukung perkembangan motorik halus dan kreativitas anak. </w:t>
      </w:r>
    </w:p>
    <w:p w14:paraId="00000009">
      <w:pPr>
        <w:spacing w:after="243"/>
        <w:ind w:left="-5" w:right="0" w:firstLine="0"/>
        <w:rPr>
          <w:rFonts w:ascii="Times New Roman" w:hAnsi="Times New Roman" w:eastAsia="Times New Roman" w:cs="Times New Roman"/>
          <w:sz w:val="22"/>
          <w:szCs w:val="22"/>
        </w:rPr>
      </w:pPr>
      <w:r>
        <w:rPr>
          <w:rFonts w:ascii="Times New Roman" w:hAnsi="Times New Roman" w:eastAsia="Times New Roman" w:cs="Times New Roman"/>
          <w:b/>
          <w:sz w:val="22"/>
          <w:szCs w:val="22"/>
          <w:rtl w:val="0"/>
        </w:rPr>
        <w:t>Kata kunci</w:t>
      </w:r>
      <w:r>
        <w:rPr>
          <w:rFonts w:ascii="Times New Roman" w:hAnsi="Times New Roman" w:eastAsia="Times New Roman" w:cs="Times New Roman"/>
          <w:sz w:val="22"/>
          <w:szCs w:val="22"/>
          <w:rtl w:val="0"/>
        </w:rPr>
        <w:t>: motorik halus, bahan bekas, PAUD, anak usia dini, menggunting, menempel.</w:t>
      </w:r>
    </w:p>
    <w:p w14:paraId="0000000A">
      <w:pPr>
        <w:spacing w:line="36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ABSTRACT</w:t>
      </w:r>
    </w:p>
    <w:p w14:paraId="0000000B">
      <w:pPr>
        <w:spacing w:after="151"/>
        <w:ind w:left="-5" w:right="0" w:firstLine="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This research aims to improve the fine motor skills of children  4-5 years PAUD An-Nur Tanjung Jabung Timur through the use of used media. This research uses a classroom action method with two cycles, each consisting of three meetings. Each cycle involves cutting and pasting activities using used materials such as paper, cardboard and plastic bottles. The research subjects were 10 children. The results showed an increase in fine motor skills with each cycle. In the first cycle, 50% of children were in the Starting to Develop category in cutting skills and 30% were in the Developing According to Expectations category. In the second cycle, cutting skills improved with 70% of children in the Very Well Developed category. Attaching skills also improved, with 80% of children reaching the Very Well Developed category in the second cycle. The conclusion of this research is that the use of used media can improve the fine motor skills of young children, as well as encourage creativity and environmental awareness. It is recommended that the use of used materials be applied more widely in PAUD to support the development of children's fine motor skills and creativity. </w:t>
      </w:r>
    </w:p>
    <w:p w14:paraId="0000000C">
      <w:pPr>
        <w:spacing w:after="151"/>
        <w:ind w:left="-5" w:right="0" w:firstLine="0"/>
        <w:rPr>
          <w:rFonts w:ascii="Times New Roman" w:hAnsi="Times New Roman" w:eastAsia="Times New Roman" w:cs="Times New Roman"/>
          <w:sz w:val="22"/>
          <w:szCs w:val="22"/>
        </w:rPr>
      </w:pPr>
      <w:r>
        <w:rPr>
          <w:rFonts w:ascii="Times New Roman" w:hAnsi="Times New Roman" w:eastAsia="Times New Roman" w:cs="Times New Roman"/>
          <w:b/>
          <w:sz w:val="22"/>
          <w:szCs w:val="22"/>
          <w:rtl w:val="0"/>
        </w:rPr>
        <w:t>Keywords:</w:t>
      </w:r>
      <w:r>
        <w:rPr>
          <w:rFonts w:ascii="Times New Roman" w:hAnsi="Times New Roman" w:eastAsia="Times New Roman" w:cs="Times New Roman"/>
          <w:i/>
          <w:sz w:val="22"/>
          <w:szCs w:val="22"/>
          <w:rtl w:val="0"/>
        </w:rPr>
        <w:t xml:space="preserve"> fine motor skills, used materials, PAUD, early childhood, cutting, sticking.</w:t>
      </w:r>
    </w:p>
    <w:p w14:paraId="0000000D">
      <w:pPr>
        <w:spacing w:after="0" w:line="360" w:lineRule="auto"/>
        <w:rPr>
          <w:rFonts w:ascii="Times New Roman" w:hAnsi="Times New Roman" w:eastAsia="Times New Roman" w:cs="Times New Roman"/>
          <w:b/>
          <w:sz w:val="22"/>
          <w:szCs w:val="22"/>
        </w:rPr>
      </w:pPr>
      <w:bookmarkStart w:id="1" w:name="_heading=h.fh1voyc2cn75" w:colFirst="0" w:colLast="0"/>
      <w:bookmarkEnd w:id="1"/>
      <w:r>
        <w:rPr>
          <w:rFonts w:ascii="Times New Roman" w:hAnsi="Times New Roman" w:eastAsia="Times New Roman" w:cs="Times New Roman"/>
          <w:b/>
          <w:sz w:val="22"/>
          <w:szCs w:val="22"/>
          <w:rtl w:val="0"/>
        </w:rPr>
        <w:t xml:space="preserve">PENDAHULUAN </w:t>
      </w:r>
    </w:p>
    <w:p w14:paraId="0000000E">
      <w:pPr>
        <w:spacing w:after="0" w:line="360" w:lineRule="auto"/>
        <w:ind w:right="1" w:firstLine="7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Pendidikan Anak Usia Dini adalah suatu upaya pembinaan yang ditujukan kepada anak sejak lahir sampai dengan usia enam tahun yang dilakukan melalui pemberian rangsangan pendidikan untuk membantu pertumbuhan dan perkembangan jasmani dan rohani agar anak memiliki kesiapan dalam pendidikan lebih lanjut. Media pembelajaran adalah alat yang digunakan untuk menyampaikan isi materi pembelajaran, yang dapat membantu siswa dalam mengikuti proses belajar. (Daniyati dkk, 2023)</w:t>
      </w:r>
      <w:r>
        <w:rPr>
          <w:rFonts w:ascii="Times New Roman" w:hAnsi="Times New Roman" w:eastAsia="Times New Roman" w:cs="Times New Roman"/>
          <w:sz w:val="22"/>
          <w:szCs w:val="22"/>
          <w:vertAlign w:val="superscript"/>
        </w:rPr>
        <w:footnoteReference w:id="0"/>
      </w:r>
      <w:r>
        <w:rPr>
          <w:rFonts w:ascii="Times New Roman" w:hAnsi="Times New Roman" w:eastAsia="Times New Roman" w:cs="Times New Roman"/>
          <w:sz w:val="22"/>
          <w:szCs w:val="22"/>
          <w:rtl w:val="0"/>
        </w:rPr>
        <w:t>.</w:t>
      </w:r>
    </w:p>
    <w:p w14:paraId="0000000F">
      <w:pPr>
        <w:spacing w:after="0" w:line="360" w:lineRule="auto"/>
        <w:ind w:right="1" w:firstLine="7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Aspek perkembangan anak berdasarkan permendikbud 137 tahun 2014, nilai agama dan moral, fisik motorik, aspek Bahasa, sosial emosional, dan seni. Motorik terbagi dua motorik kasar dan motorik halus</w:t>
      </w:r>
      <w:r>
        <w:rPr>
          <w:rFonts w:ascii="Times New Roman" w:hAnsi="Times New Roman" w:eastAsia="Times New Roman" w:cs="Times New Roman"/>
          <w:sz w:val="22"/>
          <w:szCs w:val="22"/>
          <w:vertAlign w:val="superscript"/>
        </w:rPr>
        <w:footnoteReference w:id="1"/>
      </w:r>
      <w:r>
        <w:rPr>
          <w:rFonts w:ascii="Times New Roman" w:hAnsi="Times New Roman" w:eastAsia="Times New Roman" w:cs="Times New Roman"/>
          <w:sz w:val="22"/>
          <w:szCs w:val="22"/>
          <w:rtl w:val="0"/>
        </w:rPr>
        <w:t>. Motorik halus adalah keterampilan yang melibatkan koordinasi dan penggunaan otot-otot kecil, seperti jari dan tangan yang sering kali memerlukan ketelitian dan keterpaduan dengan gerakan tangan. Keterampilan ini mencakup penggunaan alat untuk menyelesaikan tugas tertentu. Kemampuan motorik halus anak melibatkan aktivitas yang menggunakan otot-otot kecil, seperti menulis, meremas, menggambar, menyusun balok, dan memasukkan kelereng. Keterampilan motorik halus berhubungan dengan kemampuan fisik yang melibatkan otot kecil dan koordinasi antara mata dan tangan. (Nofianti, 2020)</w:t>
      </w:r>
      <w:r>
        <w:rPr>
          <w:rFonts w:ascii="Times New Roman" w:hAnsi="Times New Roman" w:eastAsia="Times New Roman" w:cs="Times New Roman"/>
          <w:sz w:val="22"/>
          <w:szCs w:val="22"/>
          <w:vertAlign w:val="superscript"/>
        </w:rPr>
        <w:footnoteReference w:id="2"/>
      </w:r>
      <w:r>
        <w:rPr>
          <w:rFonts w:ascii="Times New Roman" w:hAnsi="Times New Roman" w:eastAsia="Times New Roman" w:cs="Times New Roman"/>
          <w:sz w:val="22"/>
          <w:szCs w:val="22"/>
          <w:rtl w:val="0"/>
        </w:rPr>
        <w:t>.</w:t>
      </w:r>
    </w:p>
    <w:p w14:paraId="00000010">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Perkembangan kemampuan motorik, bisa melalui berbagai kreativitas. Kreativitas pada anak usia dini merupakan salah satu aspek penting dalam pendidikan anak usia dini (PAUD). Kreatifitas tidak hanya membantu anak dalam mengekspresikan ide dan perasaan mereka, tetapi juga berperan penting dalam  membentuk kemampuan problem-solving dan berpikir kritis di kemudian hari. (Santrock, 2019)</w:t>
      </w:r>
      <w:r>
        <w:rPr>
          <w:rFonts w:ascii="Times New Roman" w:hAnsi="Times New Roman" w:eastAsia="Times New Roman" w:cs="Times New Roman"/>
          <w:sz w:val="22"/>
          <w:szCs w:val="22"/>
          <w:vertAlign w:val="superscript"/>
        </w:rPr>
        <w:footnoteReference w:id="3"/>
      </w:r>
      <w:r>
        <w:rPr>
          <w:rFonts w:ascii="Times New Roman" w:hAnsi="Times New Roman" w:eastAsia="Times New Roman" w:cs="Times New Roman"/>
          <w:sz w:val="22"/>
          <w:szCs w:val="22"/>
          <w:rtl w:val="0"/>
        </w:rPr>
        <w:t xml:space="preserve">. Pada usia 4-5 tahun, anak-anak berada pada fase eksplorasi di mana mereka cenderung tertarik mencoba hal-hal baru serta bereksperimen dengan berbagai material dan alat di sekitar mereka. Oleh karena itu, lingkungan yang kaya akan  rangsangan kreatif sangat diperlukan untuk memfasilitasi perkembangan ini motorik anak.    </w:t>
      </w:r>
    </w:p>
    <w:p w14:paraId="00000011">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Motorik halus pada anak prasekolah adalah kemampuan  melakukan berbagai aktivitas dengan melibatkan otot-otot kecil, seperti jari dan tangan. Keterampilan ini mencakup kegiatan seperti menulis,  meremas, menggambar, menggenggam, menyusun balok, dan memasukkan kelereng ke dalam wadah. Motorik halus melibatkan pengaturan penggunaan otot-otot kecil yang sering memerlukan ketelitian serta koordinasi antara mata dan tangan, misalnya saat menulis, menggambar, memotong, dan bermain dengan berbagai benda atau alat permainan. (kurniati &amp; Novianto, 2017)</w:t>
      </w:r>
      <w:r>
        <w:rPr>
          <w:rFonts w:ascii="Times New Roman" w:hAnsi="Times New Roman" w:eastAsia="Times New Roman" w:cs="Times New Roman"/>
          <w:sz w:val="22"/>
          <w:szCs w:val="22"/>
          <w:vertAlign w:val="superscript"/>
        </w:rPr>
        <w:footnoteReference w:id="4"/>
      </w:r>
      <w:r>
        <w:rPr>
          <w:rFonts w:ascii="Times New Roman" w:hAnsi="Times New Roman" w:eastAsia="Times New Roman" w:cs="Times New Roman"/>
          <w:sz w:val="22"/>
          <w:szCs w:val="22"/>
          <w:rtl w:val="0"/>
        </w:rPr>
        <w:t xml:space="preserve">. </w:t>
      </w:r>
    </w:p>
    <w:p w14:paraId="00000012">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Secara umum, motorik halus adalah kemampuan untuk melakukan gerakan dan aktivitas sehari-hari yang melibatkan keterampilan fisik. Keterampilan ini mengandalkan otot-otot kecil di pergelangan tangan dan tangan, yang berperan penting dalam aktivitas yang menggunakan jari dan tangan. Beberapa contoh kegiatan yang memerlukan motorik halus meliputi memegang pensil, memotong, bermain dengan lego, mengancingkan pakaian, dan menulis. (Lestari Rambe et al., 2023)</w:t>
      </w:r>
      <w:r>
        <w:rPr>
          <w:rFonts w:ascii="Times New Roman" w:hAnsi="Times New Roman" w:eastAsia="Times New Roman" w:cs="Times New Roman"/>
          <w:sz w:val="22"/>
          <w:szCs w:val="22"/>
          <w:vertAlign w:val="superscript"/>
        </w:rPr>
        <w:footnoteReference w:id="5"/>
      </w:r>
      <w:r>
        <w:rPr>
          <w:rFonts w:ascii="Times New Roman" w:hAnsi="Times New Roman" w:eastAsia="Times New Roman" w:cs="Times New Roman"/>
          <w:sz w:val="22"/>
          <w:szCs w:val="22"/>
          <w:rtl w:val="0"/>
        </w:rPr>
        <w:t xml:space="preserve">. </w:t>
      </w:r>
    </w:p>
    <w:p w14:paraId="00000013">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Menurut hurlock (2013), perkembangan motorik halus adalah peningkatan dalam kemampuan mengontrol dan mengoordinasikan gerakan, terutama yang melibatkan kelompok otot kecil. Keterampilan ini mencakup aktivitas seperti menggenggam, melempar, menggambar, menjumput, menggunting, dan kegiatan serupa yang membutuhkan ketepatan koordinasi. (kurniati &amp; Novianto, 2019)</w:t>
      </w:r>
      <w:r>
        <w:rPr>
          <w:rFonts w:ascii="Times New Roman" w:hAnsi="Times New Roman" w:eastAsia="Times New Roman" w:cs="Times New Roman"/>
          <w:sz w:val="22"/>
          <w:szCs w:val="22"/>
          <w:vertAlign w:val="superscript"/>
        </w:rPr>
        <w:footnoteReference w:id="6"/>
      </w:r>
      <w:r>
        <w:rPr>
          <w:rFonts w:ascii="Times New Roman" w:hAnsi="Times New Roman" w:eastAsia="Times New Roman" w:cs="Times New Roman"/>
          <w:sz w:val="22"/>
          <w:szCs w:val="22"/>
          <w:rtl w:val="0"/>
        </w:rPr>
        <w:t xml:space="preserve">. </w:t>
      </w:r>
    </w:p>
    <w:p w14:paraId="00000014">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Perkembangan kemampuan motorik, bisa melalui berbagai kreativitas. Kreativitas pada anak usia dini merupakan salah satu aspek penting dalam pendidikan anak usia dini (PAUD). Kreatifitas tidak hanya membantu anak dalam mengekspresikan ide dan perasaan mereka, tetapi juga berperan penting dalam  membentuk kemampuan problem-solving dan berpikir kritis di kemudian hari. (Santrock, 2019)</w:t>
      </w:r>
      <w:r>
        <w:rPr>
          <w:rFonts w:ascii="Times New Roman" w:hAnsi="Times New Roman" w:eastAsia="Times New Roman" w:cs="Times New Roman"/>
          <w:sz w:val="22"/>
          <w:szCs w:val="22"/>
          <w:vertAlign w:val="superscript"/>
        </w:rPr>
        <w:footnoteReference w:id="7"/>
      </w:r>
      <w:r>
        <w:rPr>
          <w:rFonts w:ascii="Times New Roman" w:hAnsi="Times New Roman" w:eastAsia="Times New Roman" w:cs="Times New Roman"/>
          <w:sz w:val="22"/>
          <w:szCs w:val="22"/>
          <w:rtl w:val="0"/>
        </w:rPr>
        <w:t xml:space="preserve">. Pada usia 4-5 tahun, anak-anak berada pada fase eksplorasi di mana mereka cenderung tertarik mencoba hal-hal baru serta bereksperimen dengan berbagai material dan alat di sekitar mereka. Oleh karena itu, lingkungan yang kaya akan  rangsangan kreatif sangat diperlukan untuk memfasilitasi perkembangan ini motorik anak.  </w:t>
      </w:r>
    </w:p>
    <w:p w14:paraId="00000015">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Sejalan dengan pandangan tersebut, masalah yang kerap terjadi di kelas adalah dominasi peran guru, terlihat dari aktivitas utama guru yang berfokus pada penyampaian informasi satu arah, sehingga siswa menjadi pasif. Guru juga cenderung bergantung pada buku teks standar, yang mengurangi kesempatan bagi siswa untuk memperoleh perspektif yang realistis dan berguna dalam  menyelesaikan masalah kehidupan sehari-hari. Selain itu, pengaturan tempat duduk dan pembagian tugas sering kali mengisolasi siswa satu sama lain, menyulitkan komunikasi dan pertukaran pemikiran antar siswa. Pertanyaan yang diajukan guru juga lebih sering bersifat konvergen dibandingkan divergen, sehingga membatasi kreativitas siswa (</w:t>
      </w:r>
      <w:r>
        <w:rPr>
          <w:rFonts w:ascii="Times New Roman" w:hAnsi="Times New Roman" w:eastAsia="Times New Roman" w:cs="Times New Roman"/>
          <w:i/>
          <w:sz w:val="22"/>
          <w:szCs w:val="22"/>
          <w:rtl w:val="0"/>
        </w:rPr>
        <w:t>dis-empowering</w:t>
      </w:r>
      <w:r>
        <w:rPr>
          <w:rFonts w:ascii="Times New Roman" w:hAnsi="Times New Roman" w:eastAsia="Times New Roman" w:cs="Times New Roman"/>
          <w:sz w:val="22"/>
          <w:szCs w:val="22"/>
          <w:rtl w:val="0"/>
        </w:rPr>
        <w:t>), yang turut memengaruhi kemandirian mereka, karena anak yang kreatif cenderung lebih mandiri (Hardiningsih Hanafi, 2015)</w:t>
      </w:r>
      <w:r>
        <w:rPr>
          <w:rFonts w:ascii="Times New Roman" w:hAnsi="Times New Roman" w:eastAsia="Times New Roman" w:cs="Times New Roman"/>
          <w:sz w:val="22"/>
          <w:szCs w:val="22"/>
          <w:vertAlign w:val="superscript"/>
        </w:rPr>
        <w:footnoteReference w:id="8"/>
      </w:r>
      <w:r>
        <w:rPr>
          <w:rFonts w:ascii="Times New Roman" w:hAnsi="Times New Roman" w:eastAsia="Times New Roman" w:cs="Times New Roman"/>
          <w:sz w:val="22"/>
          <w:szCs w:val="22"/>
          <w:rtl w:val="0"/>
        </w:rPr>
        <w:t xml:space="preserve">. </w:t>
      </w:r>
    </w:p>
    <w:p w14:paraId="00000016">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Berdasarkan hasil penelitian sebelumnya yang dilakukan oleh Hanafi &amp; Sujarwo di TKN Pembina Kota Bima khususnya kelas B2 melalui penggunaan media bahan bekas dalam proses pembelajaran dapat meningkatkan kreativitas anak meliputi proses kegiatan membuat mainan dengan aspek perkembanga dalam kreativitas, yaitu ke- lancaran, keluwesan, keaslian, keterperincian, dan kepekaan.</w:t>
      </w:r>
    </w:p>
    <w:p w14:paraId="00000017">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Kegiatan pemanfaatan media barang bekas biasanya dilakukan dalam rangka mengurangi sampah yang ada di lingkungan anak, menyalurkan ideide kreatif dan imajinatif karena dapat mengembangkan kreativitas anak dalam perkembangan motorik halusnya. Menurut Montolalu.</w:t>
      </w:r>
    </w:p>
    <w:p w14:paraId="00000018">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Berdasarkan analisis penilaian harian mingguan yang dilakukan peneliti di PAUD An-Nur yang beralamat RT 28 Dusun Kemang Desa Carur Rahayu Kecamatan Dendang Kabupaten Tanjung Jabung Timur. Dengan Jumlah anak 10 orang terdiri dari 7 anak perempuan dan 3 anak laki-laki. Masih ada anak yang belum berkembang dalam perkembangan motorik halus anak pada indikator mengontrol gerakan tangan yang meggunakan otot halus menjumput, mengelus, mencolek, mengepal, memelintir, memilin, memeras sebebsar 40 % dari jumlah anak.</w:t>
      </w:r>
    </w:p>
    <w:p w14:paraId="00000019">
      <w:pPr>
        <w:spacing w:after="3" w:line="360" w:lineRule="auto"/>
        <w:ind w:left="1171" w:right="1100" w:firstLine="0"/>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Tabel 1. 1 Hasil  Pra Siklus</w:t>
      </w:r>
    </w:p>
    <w:tbl>
      <w:tblPr>
        <w:tblStyle w:val="37"/>
        <w:tblW w:w="7510" w:type="dxa"/>
        <w:tblInd w:w="394" w:type="dxa"/>
        <w:tblLayout w:type="fixed"/>
        <w:tblCellMar>
          <w:top w:w="7" w:type="dxa"/>
          <w:left w:w="110" w:type="dxa"/>
          <w:bottom w:w="0" w:type="dxa"/>
          <w:right w:w="115" w:type="dxa"/>
        </w:tblCellMar>
      </w:tblPr>
      <w:tblGrid>
        <w:gridCol w:w="1941"/>
        <w:gridCol w:w="1848"/>
        <w:gridCol w:w="1839"/>
        <w:gridCol w:w="1883"/>
      </w:tblGrid>
      <w:tr w14:paraId="66332F04">
        <w:tblPrEx>
          <w:tblCellMar>
            <w:top w:w="7" w:type="dxa"/>
            <w:left w:w="110" w:type="dxa"/>
            <w:bottom w:w="0" w:type="dxa"/>
            <w:right w:w="115" w:type="dxa"/>
          </w:tblCellMar>
        </w:tblPrEx>
        <w:trPr>
          <w:trHeight w:val="562" w:hRule="atLeast"/>
        </w:trPr>
        <w:tc>
          <w:tcPr>
            <w:tcBorders>
              <w:top w:val="single" w:color="000000" w:sz="4" w:space="0"/>
              <w:left w:val="single" w:color="000000" w:sz="4" w:space="0"/>
              <w:bottom w:val="single" w:color="000000" w:sz="4" w:space="0"/>
              <w:right w:val="single" w:color="000000" w:sz="4" w:space="0"/>
            </w:tcBorders>
          </w:tcPr>
          <w:p w14:paraId="0000001A">
            <w:pPr>
              <w:spacing w:after="0" w:line="360" w:lineRule="auto"/>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tl w:val="0"/>
              </w:rPr>
              <w:t xml:space="preserve">Lingkup Perkembangan </w:t>
            </w:r>
          </w:p>
        </w:tc>
        <w:tc>
          <w:tcPr>
            <w:tcBorders>
              <w:top w:val="single" w:color="000000" w:sz="4" w:space="0"/>
              <w:left w:val="single" w:color="000000" w:sz="4" w:space="0"/>
              <w:bottom w:val="single" w:color="000000" w:sz="4" w:space="0"/>
              <w:right w:val="single" w:color="000000" w:sz="4" w:space="0"/>
            </w:tcBorders>
            <w:vAlign w:val="center"/>
          </w:tcPr>
          <w:p w14:paraId="0000001B">
            <w:pPr>
              <w:spacing w:after="0" w:line="360" w:lineRule="auto"/>
              <w:ind w:right="1"/>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tl w:val="0"/>
              </w:rPr>
              <w:t xml:space="preserve">Kriteria </w:t>
            </w:r>
          </w:p>
        </w:tc>
        <w:tc>
          <w:tcPr>
            <w:tcBorders>
              <w:top w:val="single" w:color="000000" w:sz="4" w:space="0"/>
              <w:left w:val="single" w:color="000000" w:sz="4" w:space="0"/>
              <w:bottom w:val="single" w:color="000000" w:sz="4" w:space="0"/>
              <w:right w:val="single" w:color="000000" w:sz="4" w:space="0"/>
            </w:tcBorders>
            <w:vAlign w:val="center"/>
          </w:tcPr>
          <w:p w14:paraId="0000001C">
            <w:pPr>
              <w:spacing w:after="0" w:line="360" w:lineRule="auto"/>
              <w:ind w:right="1"/>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tl w:val="0"/>
              </w:rPr>
              <w:t xml:space="preserve">Jumlah </w:t>
            </w:r>
          </w:p>
        </w:tc>
        <w:tc>
          <w:tcPr>
            <w:tcBorders>
              <w:top w:val="single" w:color="000000" w:sz="4" w:space="0"/>
              <w:left w:val="single" w:color="000000" w:sz="4" w:space="0"/>
              <w:bottom w:val="single" w:color="000000" w:sz="4" w:space="0"/>
              <w:right w:val="single" w:color="000000" w:sz="4" w:space="0"/>
            </w:tcBorders>
            <w:vAlign w:val="center"/>
          </w:tcPr>
          <w:p w14:paraId="0000001D">
            <w:pPr>
              <w:spacing w:after="0" w:line="360" w:lineRule="auto"/>
              <w:ind w:left="4" w:firstLine="0"/>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tl w:val="0"/>
              </w:rPr>
              <w:t xml:space="preserve">persentase </w:t>
            </w:r>
          </w:p>
        </w:tc>
      </w:tr>
      <w:tr w14:paraId="41C12768">
        <w:tblPrEx>
          <w:tblCellMar>
            <w:top w:w="7" w:type="dxa"/>
            <w:left w:w="110" w:type="dxa"/>
            <w:bottom w:w="0" w:type="dxa"/>
            <w:right w:w="115" w:type="dxa"/>
          </w:tblCellMar>
        </w:tblPrEx>
        <w:trPr>
          <w:trHeight w:val="283" w:hRule="atLeast"/>
        </w:trPr>
        <w:tc>
          <w:tcPr>
            <w:vMerge w:val="restart"/>
            <w:tcBorders>
              <w:top w:val="single" w:color="000000" w:sz="4" w:space="0"/>
              <w:left w:val="single" w:color="000000" w:sz="4" w:space="0"/>
              <w:bottom w:val="single" w:color="000000" w:sz="4" w:space="0"/>
              <w:right w:val="single" w:color="000000" w:sz="4" w:space="0"/>
            </w:tcBorders>
          </w:tcPr>
          <w:p w14:paraId="0000001E">
            <w:pPr>
              <w:spacing w:after="0"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Menggunting </w:t>
            </w:r>
          </w:p>
        </w:tc>
        <w:tc>
          <w:tcPr>
            <w:tcBorders>
              <w:top w:val="single" w:color="000000" w:sz="4" w:space="0"/>
              <w:left w:val="single" w:color="000000" w:sz="4" w:space="0"/>
              <w:bottom w:val="single" w:color="000000" w:sz="4" w:space="0"/>
              <w:right w:val="single" w:color="000000" w:sz="4" w:space="0"/>
            </w:tcBorders>
          </w:tcPr>
          <w:p w14:paraId="0000001F">
            <w:pPr>
              <w:spacing w:after="0" w:line="360" w:lineRule="auto"/>
              <w:ind w:left="1"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BB </w:t>
            </w:r>
          </w:p>
        </w:tc>
        <w:tc>
          <w:tcPr>
            <w:tcBorders>
              <w:top w:val="single" w:color="000000" w:sz="4" w:space="0"/>
              <w:left w:val="single" w:color="000000" w:sz="4" w:space="0"/>
              <w:bottom w:val="single" w:color="000000" w:sz="4" w:space="0"/>
              <w:right w:val="single" w:color="000000" w:sz="4" w:space="0"/>
            </w:tcBorders>
          </w:tcPr>
          <w:p w14:paraId="00000020">
            <w:pPr>
              <w:spacing w:after="0" w:line="360" w:lineRule="auto"/>
              <w:ind w:left="5"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4 </w:t>
            </w:r>
          </w:p>
        </w:tc>
        <w:tc>
          <w:tcPr>
            <w:tcBorders>
              <w:top w:val="single" w:color="000000" w:sz="4" w:space="0"/>
              <w:left w:val="single" w:color="000000" w:sz="4" w:space="0"/>
              <w:bottom w:val="single" w:color="000000" w:sz="4" w:space="0"/>
              <w:right w:val="single" w:color="000000" w:sz="4" w:space="0"/>
            </w:tcBorders>
          </w:tcPr>
          <w:p w14:paraId="00000021">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40% </w:t>
            </w:r>
          </w:p>
        </w:tc>
      </w:tr>
      <w:tr w14:paraId="03F15F6A">
        <w:tblPrEx>
          <w:tblCellMar>
            <w:top w:w="7" w:type="dxa"/>
            <w:left w:w="110" w:type="dxa"/>
            <w:bottom w:w="0" w:type="dxa"/>
            <w:right w:w="115" w:type="dxa"/>
          </w:tblCellMar>
        </w:tblPrEx>
        <w:trPr>
          <w:trHeight w:val="288" w:hRule="atLeast"/>
        </w:trPr>
        <w:tc>
          <w:tcPr>
            <w:vMerge w:val="continue"/>
            <w:tcBorders>
              <w:top w:val="single" w:color="000000" w:sz="4" w:space="0"/>
              <w:left w:val="single" w:color="000000" w:sz="4" w:space="0"/>
              <w:bottom w:val="single" w:color="000000" w:sz="4" w:space="0"/>
              <w:right w:val="single" w:color="000000" w:sz="4" w:space="0"/>
            </w:tcBorders>
          </w:tcPr>
          <w:p w14:paraId="000000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23">
            <w:pPr>
              <w:spacing w:after="0" w:line="360" w:lineRule="auto"/>
              <w:ind w:left="6"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MB </w:t>
            </w:r>
          </w:p>
        </w:tc>
        <w:tc>
          <w:tcPr>
            <w:tcBorders>
              <w:top w:val="single" w:color="000000" w:sz="4" w:space="0"/>
              <w:left w:val="single" w:color="000000" w:sz="4" w:space="0"/>
              <w:bottom w:val="single" w:color="000000" w:sz="4" w:space="0"/>
              <w:right w:val="single" w:color="000000" w:sz="4" w:space="0"/>
            </w:tcBorders>
          </w:tcPr>
          <w:p w14:paraId="00000024">
            <w:pPr>
              <w:spacing w:after="0" w:line="360" w:lineRule="auto"/>
              <w:ind w:left="5"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6 </w:t>
            </w:r>
          </w:p>
        </w:tc>
        <w:tc>
          <w:tcPr>
            <w:tcBorders>
              <w:top w:val="single" w:color="000000" w:sz="4" w:space="0"/>
              <w:left w:val="single" w:color="000000" w:sz="4" w:space="0"/>
              <w:bottom w:val="single" w:color="000000" w:sz="4" w:space="0"/>
              <w:right w:val="single" w:color="000000" w:sz="4" w:space="0"/>
            </w:tcBorders>
          </w:tcPr>
          <w:p w14:paraId="00000025">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60% </w:t>
            </w:r>
          </w:p>
        </w:tc>
      </w:tr>
      <w:tr w14:paraId="1DF7E1E2">
        <w:tblPrEx>
          <w:tblCellMar>
            <w:top w:w="7" w:type="dxa"/>
            <w:left w:w="110" w:type="dxa"/>
            <w:bottom w:w="0" w:type="dxa"/>
            <w:right w:w="115" w:type="dxa"/>
          </w:tblCellMar>
        </w:tblPrEx>
        <w:trPr>
          <w:trHeight w:val="283" w:hRule="atLeast"/>
        </w:trPr>
        <w:tc>
          <w:tcPr>
            <w:vMerge w:val="continue"/>
            <w:tcBorders>
              <w:top w:val="single" w:color="000000" w:sz="4" w:space="0"/>
              <w:left w:val="single" w:color="000000" w:sz="4" w:space="0"/>
              <w:bottom w:val="single" w:color="000000" w:sz="4" w:space="0"/>
              <w:right w:val="single" w:color="000000" w:sz="4" w:space="0"/>
            </w:tcBorders>
          </w:tcPr>
          <w:p w14:paraId="000000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27">
            <w:pPr>
              <w:spacing w:after="0" w:line="360" w:lineRule="auto"/>
              <w:ind w:left="5"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BSH </w:t>
            </w:r>
          </w:p>
        </w:tc>
        <w:tc>
          <w:tcPr>
            <w:tcBorders>
              <w:top w:val="single" w:color="000000" w:sz="4" w:space="0"/>
              <w:left w:val="single" w:color="000000" w:sz="4" w:space="0"/>
              <w:bottom w:val="single" w:color="000000" w:sz="4" w:space="0"/>
              <w:right w:val="single" w:color="000000" w:sz="4" w:space="0"/>
            </w:tcBorders>
          </w:tcPr>
          <w:p w14:paraId="00000028">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29">
            <w:pPr>
              <w:spacing w:after="0" w:line="360" w:lineRule="auto"/>
              <w:ind w:left="8"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r w14:paraId="168D29B1">
        <w:tblPrEx>
          <w:tblCellMar>
            <w:top w:w="7" w:type="dxa"/>
            <w:left w:w="110" w:type="dxa"/>
            <w:bottom w:w="0" w:type="dxa"/>
            <w:right w:w="115" w:type="dxa"/>
          </w:tblCellMar>
        </w:tblPrEx>
        <w:trPr>
          <w:trHeight w:val="288" w:hRule="atLeast"/>
        </w:trPr>
        <w:tc>
          <w:tcPr>
            <w:vMerge w:val="continue"/>
            <w:tcBorders>
              <w:top w:val="single" w:color="000000" w:sz="4" w:space="0"/>
              <w:left w:val="single" w:color="000000" w:sz="4" w:space="0"/>
              <w:bottom w:val="single" w:color="000000" w:sz="4" w:space="0"/>
              <w:right w:val="single" w:color="000000" w:sz="4" w:space="0"/>
            </w:tcBorders>
          </w:tcPr>
          <w:p w14:paraId="000000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2B">
            <w:pPr>
              <w:spacing w:after="0" w:line="360" w:lineRule="auto"/>
              <w:ind w:left="11"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BSB </w:t>
            </w:r>
          </w:p>
        </w:tc>
        <w:tc>
          <w:tcPr>
            <w:tcBorders>
              <w:top w:val="single" w:color="000000" w:sz="4" w:space="0"/>
              <w:left w:val="single" w:color="000000" w:sz="4" w:space="0"/>
              <w:bottom w:val="single" w:color="000000" w:sz="4" w:space="0"/>
              <w:right w:val="single" w:color="000000" w:sz="4" w:space="0"/>
            </w:tcBorders>
          </w:tcPr>
          <w:p w14:paraId="0000002C">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2D">
            <w:pPr>
              <w:spacing w:after="0" w:line="360" w:lineRule="auto"/>
              <w:ind w:left="8"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r w14:paraId="1D5A2905">
        <w:tblPrEx>
          <w:tblCellMar>
            <w:top w:w="7" w:type="dxa"/>
            <w:left w:w="110" w:type="dxa"/>
            <w:bottom w:w="0" w:type="dxa"/>
            <w:right w:w="115" w:type="dxa"/>
          </w:tblCellMar>
        </w:tblPrEx>
        <w:trPr>
          <w:trHeight w:val="283" w:hRule="atLeast"/>
        </w:trPr>
        <w:tc>
          <w:tcPr>
            <w:vMerge w:val="restart"/>
            <w:tcBorders>
              <w:top w:val="single" w:color="000000" w:sz="4" w:space="0"/>
              <w:left w:val="single" w:color="000000" w:sz="4" w:space="0"/>
              <w:bottom w:val="single" w:color="000000" w:sz="4" w:space="0"/>
              <w:right w:val="single" w:color="000000" w:sz="4" w:space="0"/>
            </w:tcBorders>
          </w:tcPr>
          <w:p w14:paraId="0000002E">
            <w:pPr>
              <w:spacing w:after="0"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menempel </w:t>
            </w:r>
          </w:p>
        </w:tc>
        <w:tc>
          <w:tcPr>
            <w:tcBorders>
              <w:top w:val="single" w:color="000000" w:sz="4" w:space="0"/>
              <w:left w:val="single" w:color="000000" w:sz="4" w:space="0"/>
              <w:bottom w:val="single" w:color="000000" w:sz="4" w:space="0"/>
              <w:right w:val="single" w:color="000000" w:sz="4" w:space="0"/>
            </w:tcBorders>
          </w:tcPr>
          <w:p w14:paraId="0000002F">
            <w:pPr>
              <w:spacing w:after="0" w:line="360" w:lineRule="auto"/>
              <w:ind w:left="1"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BB </w:t>
            </w:r>
          </w:p>
        </w:tc>
        <w:tc>
          <w:tcPr>
            <w:tcBorders>
              <w:top w:val="single" w:color="000000" w:sz="4" w:space="0"/>
              <w:left w:val="single" w:color="000000" w:sz="4" w:space="0"/>
              <w:bottom w:val="single" w:color="000000" w:sz="4" w:space="0"/>
              <w:right w:val="single" w:color="000000" w:sz="4" w:space="0"/>
            </w:tcBorders>
          </w:tcPr>
          <w:p w14:paraId="00000030">
            <w:pPr>
              <w:spacing w:after="0" w:line="360" w:lineRule="auto"/>
              <w:ind w:left="5"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4 </w:t>
            </w:r>
          </w:p>
        </w:tc>
        <w:tc>
          <w:tcPr>
            <w:tcBorders>
              <w:top w:val="single" w:color="000000" w:sz="4" w:space="0"/>
              <w:left w:val="single" w:color="000000" w:sz="4" w:space="0"/>
              <w:bottom w:val="single" w:color="000000" w:sz="4" w:space="0"/>
              <w:right w:val="single" w:color="000000" w:sz="4" w:space="0"/>
            </w:tcBorders>
          </w:tcPr>
          <w:p w14:paraId="00000031">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40% </w:t>
            </w:r>
          </w:p>
        </w:tc>
      </w:tr>
      <w:tr w14:paraId="4A64C905">
        <w:tblPrEx>
          <w:tblCellMar>
            <w:top w:w="7" w:type="dxa"/>
            <w:left w:w="110" w:type="dxa"/>
            <w:bottom w:w="0" w:type="dxa"/>
            <w:right w:w="115" w:type="dxa"/>
          </w:tblCellMar>
        </w:tblPrEx>
        <w:trPr>
          <w:trHeight w:val="288" w:hRule="atLeast"/>
        </w:trPr>
        <w:tc>
          <w:tcPr>
            <w:vMerge w:val="continue"/>
            <w:tcBorders>
              <w:top w:val="single" w:color="000000" w:sz="4" w:space="0"/>
              <w:left w:val="single" w:color="000000" w:sz="4" w:space="0"/>
              <w:bottom w:val="single" w:color="000000" w:sz="4" w:space="0"/>
              <w:right w:val="single" w:color="000000" w:sz="4" w:space="0"/>
            </w:tcBorders>
          </w:tcPr>
          <w:p w14:paraId="000000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33">
            <w:pPr>
              <w:spacing w:after="0" w:line="360" w:lineRule="auto"/>
              <w:ind w:left="6"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MB </w:t>
            </w:r>
          </w:p>
        </w:tc>
        <w:tc>
          <w:tcPr>
            <w:tcBorders>
              <w:top w:val="single" w:color="000000" w:sz="4" w:space="0"/>
              <w:left w:val="single" w:color="000000" w:sz="4" w:space="0"/>
              <w:bottom w:val="single" w:color="000000" w:sz="4" w:space="0"/>
              <w:right w:val="single" w:color="000000" w:sz="4" w:space="0"/>
            </w:tcBorders>
          </w:tcPr>
          <w:p w14:paraId="00000034">
            <w:pPr>
              <w:spacing w:after="0" w:line="360" w:lineRule="auto"/>
              <w:ind w:left="5"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6 </w:t>
            </w:r>
          </w:p>
        </w:tc>
        <w:tc>
          <w:tcPr>
            <w:tcBorders>
              <w:top w:val="single" w:color="000000" w:sz="4" w:space="0"/>
              <w:left w:val="single" w:color="000000" w:sz="4" w:space="0"/>
              <w:bottom w:val="single" w:color="000000" w:sz="4" w:space="0"/>
              <w:right w:val="single" w:color="000000" w:sz="4" w:space="0"/>
            </w:tcBorders>
          </w:tcPr>
          <w:p w14:paraId="00000035">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60% </w:t>
            </w:r>
          </w:p>
        </w:tc>
      </w:tr>
      <w:tr w14:paraId="5060AF96">
        <w:tblPrEx>
          <w:tblCellMar>
            <w:top w:w="7" w:type="dxa"/>
            <w:left w:w="110" w:type="dxa"/>
            <w:bottom w:w="0" w:type="dxa"/>
            <w:right w:w="115" w:type="dxa"/>
          </w:tblCellMar>
        </w:tblPrEx>
        <w:trPr>
          <w:trHeight w:val="288" w:hRule="atLeast"/>
        </w:trPr>
        <w:tc>
          <w:tcPr>
            <w:vMerge w:val="continue"/>
            <w:tcBorders>
              <w:top w:val="single" w:color="000000" w:sz="4" w:space="0"/>
              <w:left w:val="single" w:color="000000" w:sz="4" w:space="0"/>
              <w:bottom w:val="single" w:color="000000" w:sz="4" w:space="0"/>
              <w:right w:val="single" w:color="000000" w:sz="4" w:space="0"/>
            </w:tcBorders>
          </w:tcPr>
          <w:p w14:paraId="000000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37">
            <w:pPr>
              <w:spacing w:after="0" w:line="360" w:lineRule="auto"/>
              <w:ind w:left="5"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BSH </w:t>
            </w:r>
          </w:p>
        </w:tc>
        <w:tc>
          <w:tcPr>
            <w:tcBorders>
              <w:top w:val="single" w:color="000000" w:sz="4" w:space="0"/>
              <w:left w:val="single" w:color="000000" w:sz="4" w:space="0"/>
              <w:bottom w:val="single" w:color="000000" w:sz="4" w:space="0"/>
              <w:right w:val="single" w:color="000000" w:sz="4" w:space="0"/>
            </w:tcBorders>
          </w:tcPr>
          <w:p w14:paraId="00000038">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39">
            <w:pPr>
              <w:spacing w:after="0" w:line="360" w:lineRule="auto"/>
              <w:ind w:left="8"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r w14:paraId="2300D982">
        <w:tblPrEx>
          <w:tblCellMar>
            <w:top w:w="7" w:type="dxa"/>
            <w:left w:w="110" w:type="dxa"/>
            <w:bottom w:w="0" w:type="dxa"/>
            <w:right w:w="115" w:type="dxa"/>
          </w:tblCellMar>
        </w:tblPrEx>
        <w:trPr>
          <w:trHeight w:val="283" w:hRule="atLeast"/>
        </w:trPr>
        <w:tc>
          <w:tcPr>
            <w:vMerge w:val="continue"/>
            <w:tcBorders>
              <w:top w:val="single" w:color="000000" w:sz="4" w:space="0"/>
              <w:left w:val="single" w:color="000000" w:sz="4" w:space="0"/>
              <w:bottom w:val="single" w:color="000000" w:sz="4" w:space="0"/>
              <w:right w:val="single" w:color="000000" w:sz="4" w:space="0"/>
            </w:tcBorders>
          </w:tcPr>
          <w:p w14:paraId="000000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3B">
            <w:pPr>
              <w:spacing w:after="0" w:line="360" w:lineRule="auto"/>
              <w:ind w:left="11"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BSB </w:t>
            </w:r>
          </w:p>
        </w:tc>
        <w:tc>
          <w:tcPr>
            <w:tcBorders>
              <w:top w:val="single" w:color="000000" w:sz="4" w:space="0"/>
              <w:left w:val="single" w:color="000000" w:sz="4" w:space="0"/>
              <w:bottom w:val="single" w:color="000000" w:sz="4" w:space="0"/>
              <w:right w:val="single" w:color="000000" w:sz="4" w:space="0"/>
            </w:tcBorders>
          </w:tcPr>
          <w:p w14:paraId="0000003C">
            <w:pPr>
              <w:spacing w:after="0" w:line="360" w:lineRule="auto"/>
              <w:ind w:left="3"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3D">
            <w:pPr>
              <w:spacing w:after="0" w:line="360" w:lineRule="auto"/>
              <w:ind w:left="8" w:firstLine="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bl>
    <w:p w14:paraId="0000003E">
      <w:pPr>
        <w:spacing w:after="0" w:line="360" w:lineRule="auto"/>
        <w:ind w:left="77" w:firstLine="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p w14:paraId="0000003F">
      <w:pPr>
        <w:spacing w:after="0" w:line="360" w:lineRule="auto"/>
        <w:ind w:firstLine="7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Berdasarkan tabel diatas perkembangan motorik halus anak belum berkembang sebanyak 40%. Dari analisis perkembangan bahasa anak dalam keaksaraan tersebut menjadikan peneliti untuk melakukan tindakan kelas dalam mengembangkan bahasa anak dengan judul “Penggunaan Media Barang Bekas Untuk Meningkatkan Kemampuan Motorik Halus Anak 4-5 Tahun di Paud An-Nur Tanjung Jabung Timur”.</w:t>
      </w:r>
    </w:p>
    <w:p w14:paraId="00000040">
      <w:pPr>
        <w:spacing w:after="0" w:line="360" w:lineRule="auto"/>
        <w:rPr>
          <w:rFonts w:ascii="Times New Roman" w:hAnsi="Times New Roman" w:eastAsia="Times New Roman" w:cs="Times New Roman"/>
        </w:rPr>
      </w:pPr>
    </w:p>
    <w:p w14:paraId="00000041">
      <w:pPr>
        <w:spacing w:after="0" w:line="360" w:lineRule="auto"/>
        <w:rPr>
          <w:rFonts w:ascii="Times New Roman" w:hAnsi="Times New Roman" w:eastAsia="Times New Roman" w:cs="Times New Roman"/>
          <w:color w:val="000000"/>
          <w:sz w:val="22"/>
          <w:szCs w:val="22"/>
        </w:rPr>
      </w:pPr>
      <w:r>
        <w:rPr>
          <w:rFonts w:ascii="Times New Roman" w:hAnsi="Times New Roman" w:eastAsia="Times New Roman" w:cs="Times New Roman"/>
          <w:b/>
          <w:sz w:val="22"/>
          <w:szCs w:val="22"/>
          <w:rtl w:val="0"/>
        </w:rPr>
        <w:t>METODE PENELITIAN</w:t>
      </w:r>
    </w:p>
    <w:p w14:paraId="00000042">
      <w:pPr>
        <w:spacing w:after="0" w:line="360" w:lineRule="auto"/>
        <w:ind w:right="114" w:firstLine="567"/>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Penelitian ini menggunakan metode Penelitian Tindakan Kelas (PTK) adalah suatu bentuk penelitian yang dilakukan oleh guru di kelasnya sendiri dengan tujuan untuk meningkatkan mutu pembelajaran di dalam kelas, John Elliot (dalam Iskandar, 2009:22). Model PTK yang digunakan adalah model yang di kemukakan kemis &amp; Taggart. Menurut Rustam, penelitian tindakan kelas adalah suatu bentuk penelitian yang dilakukan oleh guru di kelasnya sendiri dengan jalan merancang, melaksanakan dan merefleksi tindakan secara kolaboratif dan partisipatif dengan tujuan memperbaiki kinerjanya sebagai guru sehingga hasil belajar anak dapat meningkat.” (Heru Santoso Wahito Nugroho, 2017). Langkah-langkah yang dilakukan meliputi perencanaan, pelaksanaan, pengamatan, refleksi, dan observas. (Sugiono, 2015). Waktu penelitian dilaksanakan pada rentang waktu  September hingga Januari 2024. Teknik pengumpulan data yang digunakan observasi dan dokumentasi. Analisis data yang digunakan menentukan perkembangan yang dicapai anak dalam proses belajar dengan menggunakan analisis data kualitatif dan kuantitatif. Data yang diperoleh dari 0bservasi dan dokumentasi dilakukan pengolahan dengan teknik persentase anak yang tuntas belajar dengan rumus sebagai berikut :    </w:t>
      </w:r>
    </w:p>
    <w:p w14:paraId="00000043">
      <w:pPr>
        <w:spacing w:after="297"/>
        <w:ind w:left="1100" w:right="4427" w:firstLine="0"/>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r>
        <w:drawing>
          <wp:anchor distT="0" distB="0" distL="114300" distR="114300" simplePos="0" relativeHeight="251659264" behindDoc="0" locked="0" layoutInCell="1" allowOverlap="1">
            <wp:simplePos x="0" y="0"/>
            <wp:positionH relativeFrom="column">
              <wp:posOffset>2099945</wp:posOffset>
            </wp:positionH>
            <wp:positionV relativeFrom="paragraph">
              <wp:posOffset>57785</wp:posOffset>
            </wp:positionV>
            <wp:extent cx="1104900" cy="681990"/>
            <wp:effectExtent l="0" t="0" r="0" b="0"/>
            <wp:wrapSquare wrapText="bothSides"/>
            <wp:docPr id="4934" name="image1.jpg"/>
            <wp:cNvGraphicFramePr/>
            <a:graphic xmlns:a="http://schemas.openxmlformats.org/drawingml/2006/main">
              <a:graphicData uri="http://schemas.openxmlformats.org/drawingml/2006/picture">
                <pic:pic xmlns:pic="http://schemas.openxmlformats.org/drawingml/2006/picture">
                  <pic:nvPicPr>
                    <pic:cNvPr id="4934" name="image1.jpg"/>
                    <pic:cNvPicPr preferRelativeResize="0"/>
                  </pic:nvPicPr>
                  <pic:blipFill>
                    <a:blip r:embed="rId7"/>
                    <a:srcRect/>
                    <a:stretch>
                      <a:fillRect/>
                    </a:stretch>
                  </pic:blipFill>
                  <pic:spPr>
                    <a:xfrm>
                      <a:off x="0" y="0"/>
                      <a:ext cx="1104900" cy="682257"/>
                    </a:xfrm>
                    <a:prstGeom prst="rect">
                      <a:avLst/>
                    </a:prstGeom>
                  </pic:spPr>
                </pic:pic>
              </a:graphicData>
            </a:graphic>
          </wp:anchor>
        </w:drawing>
      </w:r>
    </w:p>
    <w:p w14:paraId="00000044">
      <w:pPr>
        <w:spacing w:after="146" w:line="488" w:lineRule="auto"/>
        <w:ind w:right="251"/>
        <w:rPr>
          <w:rFonts w:ascii="Times New Roman" w:hAnsi="Times New Roman" w:eastAsia="Times New Roman" w:cs="Times New Roman"/>
        </w:rPr>
      </w:pPr>
    </w:p>
    <w:p w14:paraId="00000045">
      <w:pPr>
        <w:spacing w:after="0" w:line="360" w:lineRule="auto"/>
        <w:rPr>
          <w:rFonts w:ascii="Times New Roman" w:hAnsi="Times New Roman" w:eastAsia="Times New Roman" w:cs="Times New Roman"/>
          <w:b/>
          <w:color w:val="000000"/>
          <w:sz w:val="22"/>
          <w:szCs w:val="22"/>
        </w:rPr>
      </w:pPr>
      <w:r>
        <w:rPr>
          <w:rFonts w:ascii="Times New Roman" w:hAnsi="Times New Roman" w:eastAsia="Times New Roman" w:cs="Times New Roman"/>
          <w:b/>
          <w:color w:val="000000"/>
          <w:sz w:val="22"/>
          <w:szCs w:val="22"/>
          <w:rtl w:val="0"/>
        </w:rPr>
        <w:t>HASIL DAN PEMBAHASAN</w:t>
      </w:r>
    </w:p>
    <w:p w14:paraId="00000046">
      <w:pPr>
        <w:spacing w:line="36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Tabel. Rekapitulasi Setiap Siklus 1</w:t>
      </w:r>
    </w:p>
    <w:tbl>
      <w:tblPr>
        <w:tblStyle w:val="38"/>
        <w:tblW w:w="6837" w:type="dxa"/>
        <w:tblInd w:w="721" w:type="dxa"/>
        <w:tblLayout w:type="fixed"/>
        <w:tblCellMar>
          <w:top w:w="39" w:type="dxa"/>
          <w:left w:w="110" w:type="dxa"/>
          <w:bottom w:w="0" w:type="dxa"/>
          <w:right w:w="50" w:type="dxa"/>
        </w:tblCellMar>
      </w:tblPr>
      <w:tblGrid>
        <w:gridCol w:w="456"/>
        <w:gridCol w:w="1407"/>
        <w:gridCol w:w="1386"/>
        <w:gridCol w:w="1206"/>
        <w:gridCol w:w="1187"/>
        <w:gridCol w:w="1195"/>
      </w:tblGrid>
      <w:tr w14:paraId="5D3C83F4">
        <w:tblPrEx>
          <w:tblCellMar>
            <w:top w:w="39" w:type="dxa"/>
            <w:left w:w="110" w:type="dxa"/>
            <w:bottom w:w="0" w:type="dxa"/>
            <w:right w:w="50" w:type="dxa"/>
          </w:tblCellMar>
        </w:tblPrEx>
        <w:trPr>
          <w:trHeight w:val="482" w:hRule="atLeast"/>
        </w:trPr>
        <w:tc>
          <w:tcPr>
            <w:tcBorders>
              <w:top w:val="single" w:color="000000" w:sz="4" w:space="0"/>
              <w:left w:val="single" w:color="000000" w:sz="4" w:space="0"/>
              <w:bottom w:val="single" w:color="000000" w:sz="4" w:space="0"/>
              <w:right w:val="single" w:color="000000" w:sz="4" w:space="0"/>
            </w:tcBorders>
          </w:tcPr>
          <w:p w14:paraId="00000047">
            <w:pPr>
              <w:spacing w:after="0" w:line="240" w:lineRule="auto"/>
              <w:jc w:val="left"/>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No </w:t>
            </w:r>
          </w:p>
        </w:tc>
        <w:tc>
          <w:tcPr>
            <w:tcBorders>
              <w:top w:val="single" w:color="000000" w:sz="4" w:space="0"/>
              <w:left w:val="single" w:color="000000" w:sz="4" w:space="0"/>
              <w:bottom w:val="single" w:color="000000" w:sz="4" w:space="0"/>
              <w:right w:val="single" w:color="000000" w:sz="4" w:space="0"/>
            </w:tcBorders>
          </w:tcPr>
          <w:p w14:paraId="00000048">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Motorik Halus </w:t>
            </w:r>
          </w:p>
        </w:tc>
        <w:tc>
          <w:tcPr>
            <w:tcBorders>
              <w:top w:val="single" w:color="000000" w:sz="4" w:space="0"/>
              <w:left w:val="single" w:color="000000" w:sz="4" w:space="0"/>
              <w:bottom w:val="single" w:color="000000" w:sz="4" w:space="0"/>
              <w:right w:val="single" w:color="000000" w:sz="4" w:space="0"/>
            </w:tcBorders>
          </w:tcPr>
          <w:p w14:paraId="00000049">
            <w:pPr>
              <w:spacing w:after="0" w:line="240" w:lineRule="auto"/>
              <w:ind w:right="60"/>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Kriteria </w:t>
            </w:r>
          </w:p>
        </w:tc>
        <w:tc>
          <w:tcPr>
            <w:tcBorders>
              <w:top w:val="single" w:color="000000" w:sz="4" w:space="0"/>
              <w:left w:val="single" w:color="000000" w:sz="4" w:space="0"/>
              <w:bottom w:val="single" w:color="000000" w:sz="4" w:space="0"/>
              <w:right w:val="single" w:color="000000" w:sz="4" w:space="0"/>
            </w:tcBorders>
          </w:tcPr>
          <w:p w14:paraId="0000004A">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Siklus 1 pertemuan 1 </w:t>
            </w:r>
          </w:p>
        </w:tc>
        <w:tc>
          <w:tcPr>
            <w:tcBorders>
              <w:top w:val="single" w:color="000000" w:sz="4" w:space="0"/>
              <w:left w:val="single" w:color="000000" w:sz="4" w:space="0"/>
              <w:bottom w:val="single" w:color="000000" w:sz="4" w:space="0"/>
              <w:right w:val="single" w:color="000000" w:sz="4" w:space="0"/>
            </w:tcBorders>
          </w:tcPr>
          <w:p w14:paraId="0000004B">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Siklus 1 pertemuan 2 </w:t>
            </w:r>
          </w:p>
        </w:tc>
        <w:tc>
          <w:tcPr>
            <w:tcBorders>
              <w:top w:val="single" w:color="000000" w:sz="4" w:space="0"/>
              <w:left w:val="single" w:color="000000" w:sz="4" w:space="0"/>
              <w:bottom w:val="single" w:color="000000" w:sz="4" w:space="0"/>
              <w:right w:val="single" w:color="000000" w:sz="4" w:space="0"/>
            </w:tcBorders>
          </w:tcPr>
          <w:p w14:paraId="0000004C">
            <w:pPr>
              <w:spacing w:after="0" w:line="240" w:lineRule="auto"/>
              <w:ind w:right="8"/>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Siklus 1 pertemuan 3</w:t>
            </w:r>
          </w:p>
        </w:tc>
      </w:tr>
      <w:tr w14:paraId="587A6495">
        <w:tblPrEx>
          <w:tblCellMar>
            <w:top w:w="39" w:type="dxa"/>
            <w:left w:w="110" w:type="dxa"/>
            <w:bottom w:w="0" w:type="dxa"/>
            <w:right w:w="50" w:type="dxa"/>
          </w:tblCellMar>
        </w:tblPrEx>
        <w:trPr>
          <w:trHeight w:val="763" w:hRule="atLeast"/>
        </w:trPr>
        <w:tc>
          <w:tcPr>
            <w:vMerge w:val="restart"/>
            <w:tcBorders>
              <w:top w:val="single" w:color="000000" w:sz="4" w:space="0"/>
              <w:left w:val="single" w:color="000000" w:sz="4" w:space="0"/>
              <w:bottom w:val="single" w:color="000000" w:sz="4" w:space="0"/>
              <w:right w:val="single" w:color="000000" w:sz="4" w:space="0"/>
            </w:tcBorders>
          </w:tcPr>
          <w:p w14:paraId="0000004D">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 </w:t>
            </w:r>
          </w:p>
        </w:tc>
        <w:tc>
          <w:tcPr>
            <w:vMerge w:val="restart"/>
            <w:tcBorders>
              <w:top w:val="single" w:color="000000" w:sz="4" w:space="0"/>
              <w:left w:val="single" w:color="000000" w:sz="4" w:space="0"/>
              <w:bottom w:val="single" w:color="000000" w:sz="4" w:space="0"/>
              <w:right w:val="single" w:color="000000" w:sz="4" w:space="0"/>
            </w:tcBorders>
          </w:tcPr>
          <w:p w14:paraId="0000004E">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Menggunting </w:t>
            </w:r>
          </w:p>
        </w:tc>
        <w:tc>
          <w:tcPr>
            <w:tcBorders>
              <w:top w:val="single" w:color="000000" w:sz="4" w:space="0"/>
              <w:left w:val="single" w:color="000000" w:sz="4" w:space="0"/>
              <w:bottom w:val="single" w:color="000000" w:sz="4" w:space="0"/>
              <w:right w:val="single" w:color="000000" w:sz="4" w:space="0"/>
            </w:tcBorders>
          </w:tcPr>
          <w:p w14:paraId="0000004F">
            <w:pPr>
              <w:spacing w:after="42"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Belum </w:t>
            </w:r>
          </w:p>
          <w:p w14:paraId="00000050">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51">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p>
        </w:tc>
        <w:tc>
          <w:tcPr>
            <w:tcBorders>
              <w:top w:val="single" w:color="000000" w:sz="4" w:space="0"/>
              <w:left w:val="single" w:color="000000" w:sz="4" w:space="0"/>
              <w:bottom w:val="single" w:color="000000" w:sz="4" w:space="0"/>
              <w:right w:val="single" w:color="000000" w:sz="4" w:space="0"/>
            </w:tcBorders>
          </w:tcPr>
          <w:p w14:paraId="00000052">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 </w:t>
            </w:r>
          </w:p>
        </w:tc>
        <w:tc>
          <w:tcPr>
            <w:tcBorders>
              <w:top w:val="single" w:color="000000" w:sz="4" w:space="0"/>
              <w:left w:val="single" w:color="000000" w:sz="4" w:space="0"/>
              <w:bottom w:val="single" w:color="000000" w:sz="4" w:space="0"/>
              <w:right w:val="single" w:color="000000" w:sz="4" w:space="0"/>
            </w:tcBorders>
          </w:tcPr>
          <w:p w14:paraId="00000053">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 </w:t>
            </w:r>
          </w:p>
        </w:tc>
      </w:tr>
      <w:tr w14:paraId="7E643495">
        <w:tblPrEx>
          <w:tblCellMar>
            <w:top w:w="39" w:type="dxa"/>
            <w:left w:w="110" w:type="dxa"/>
            <w:bottom w:w="0" w:type="dxa"/>
            <w:right w:w="50" w:type="dxa"/>
          </w:tblCellMar>
        </w:tblPrEx>
        <w:trPr>
          <w:trHeight w:val="768" w:hRule="atLeast"/>
        </w:trPr>
        <w:tc>
          <w:tcPr>
            <w:vMerge w:val="continue"/>
            <w:tcBorders>
              <w:top w:val="single" w:color="000000" w:sz="4" w:space="0"/>
              <w:left w:val="single" w:color="000000" w:sz="4" w:space="0"/>
              <w:bottom w:val="single" w:color="000000" w:sz="4" w:space="0"/>
              <w:right w:val="single" w:color="000000" w:sz="4" w:space="0"/>
            </w:tcBorders>
          </w:tcPr>
          <w:p w14:paraId="000000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56">
            <w:pPr>
              <w:spacing w:after="42"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Mulai </w:t>
            </w:r>
          </w:p>
          <w:p w14:paraId="00000057">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58">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50% </w:t>
            </w:r>
          </w:p>
        </w:tc>
        <w:tc>
          <w:tcPr>
            <w:tcBorders>
              <w:top w:val="single" w:color="000000" w:sz="4" w:space="0"/>
              <w:left w:val="single" w:color="000000" w:sz="4" w:space="0"/>
              <w:bottom w:val="single" w:color="000000" w:sz="4" w:space="0"/>
              <w:right w:val="single" w:color="000000" w:sz="4" w:space="0"/>
            </w:tcBorders>
          </w:tcPr>
          <w:p w14:paraId="00000059">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5A">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r>
      <w:tr w14:paraId="271E1187">
        <w:tblPrEx>
          <w:tblCellMar>
            <w:top w:w="39" w:type="dxa"/>
            <w:left w:w="110" w:type="dxa"/>
            <w:bottom w:w="0" w:type="dxa"/>
            <w:right w:w="50" w:type="dxa"/>
          </w:tblCellMar>
        </w:tblPrEx>
        <w:trPr>
          <w:trHeight w:val="1061" w:hRule="atLeast"/>
        </w:trPr>
        <w:tc>
          <w:tcPr>
            <w:vMerge w:val="continue"/>
            <w:tcBorders>
              <w:top w:val="single" w:color="000000" w:sz="4" w:space="0"/>
              <w:left w:val="single" w:color="000000" w:sz="4" w:space="0"/>
              <w:bottom w:val="single" w:color="000000" w:sz="4" w:space="0"/>
              <w:right w:val="single" w:color="000000" w:sz="4" w:space="0"/>
            </w:tcBorders>
          </w:tcPr>
          <w:p w14:paraId="000000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5D">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p w14:paraId="0000005E">
            <w:pPr>
              <w:spacing w:after="41"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Sesuai </w:t>
            </w:r>
          </w:p>
          <w:p w14:paraId="0000005F">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Harapan </w:t>
            </w:r>
          </w:p>
        </w:tc>
        <w:tc>
          <w:tcPr>
            <w:tcBorders>
              <w:top w:val="single" w:color="000000" w:sz="4" w:space="0"/>
              <w:left w:val="single" w:color="000000" w:sz="4" w:space="0"/>
              <w:bottom w:val="single" w:color="000000" w:sz="4" w:space="0"/>
              <w:right w:val="single" w:color="000000" w:sz="4" w:space="0"/>
            </w:tcBorders>
          </w:tcPr>
          <w:p w14:paraId="00000060">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61">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62">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r>
      <w:tr w14:paraId="122C13D4">
        <w:tblPrEx>
          <w:tblCellMar>
            <w:top w:w="39" w:type="dxa"/>
            <w:left w:w="110" w:type="dxa"/>
            <w:bottom w:w="0" w:type="dxa"/>
            <w:right w:w="50" w:type="dxa"/>
          </w:tblCellMar>
        </w:tblPrEx>
        <w:trPr>
          <w:trHeight w:val="768" w:hRule="atLeast"/>
        </w:trPr>
        <w:tc>
          <w:tcPr>
            <w:vMerge w:val="continue"/>
            <w:tcBorders>
              <w:top w:val="single" w:color="000000" w:sz="4" w:space="0"/>
              <w:left w:val="single" w:color="000000" w:sz="4" w:space="0"/>
              <w:bottom w:val="single" w:color="000000" w:sz="4" w:space="0"/>
              <w:right w:val="single" w:color="000000" w:sz="4" w:space="0"/>
            </w:tcBorders>
          </w:tcPr>
          <w:p w14:paraId="000000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65">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Sangat Baik </w:t>
            </w:r>
          </w:p>
        </w:tc>
        <w:tc>
          <w:tcPr>
            <w:tcBorders>
              <w:top w:val="single" w:color="000000" w:sz="4" w:space="0"/>
              <w:left w:val="single" w:color="000000" w:sz="4" w:space="0"/>
              <w:bottom w:val="single" w:color="000000" w:sz="4" w:space="0"/>
              <w:right w:val="single" w:color="000000" w:sz="4" w:space="0"/>
            </w:tcBorders>
          </w:tcPr>
          <w:p w14:paraId="00000066">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67">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68">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r>
      <w:tr w14:paraId="0F5EBE5A">
        <w:tblPrEx>
          <w:tblCellMar>
            <w:top w:w="39" w:type="dxa"/>
            <w:left w:w="110" w:type="dxa"/>
            <w:bottom w:w="0" w:type="dxa"/>
            <w:right w:w="50" w:type="dxa"/>
          </w:tblCellMar>
        </w:tblPrEx>
        <w:trPr>
          <w:trHeight w:val="466" w:hRule="atLeast"/>
        </w:trPr>
        <w:tc>
          <w:tcPr>
            <w:vMerge w:val="continue"/>
            <w:tcBorders>
              <w:top w:val="single" w:color="000000" w:sz="4" w:space="0"/>
              <w:left w:val="single" w:color="000000" w:sz="4" w:space="0"/>
              <w:bottom w:val="single" w:color="000000" w:sz="4" w:space="0"/>
              <w:right w:val="single" w:color="000000" w:sz="4" w:space="0"/>
            </w:tcBorders>
          </w:tcPr>
          <w:p w14:paraId="000000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6B">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Jumlah </w:t>
            </w:r>
          </w:p>
        </w:tc>
        <w:tc>
          <w:tcPr>
            <w:tcBorders>
              <w:top w:val="single" w:color="000000" w:sz="4" w:space="0"/>
              <w:left w:val="single" w:color="000000" w:sz="4" w:space="0"/>
              <w:bottom w:val="single" w:color="000000" w:sz="4" w:space="0"/>
              <w:right w:val="single" w:color="000000" w:sz="4" w:space="0"/>
            </w:tcBorders>
          </w:tcPr>
          <w:p w14:paraId="0000006C">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100% </w:t>
            </w:r>
          </w:p>
        </w:tc>
        <w:tc>
          <w:tcPr>
            <w:tcBorders>
              <w:top w:val="single" w:color="000000" w:sz="4" w:space="0"/>
              <w:left w:val="single" w:color="000000" w:sz="4" w:space="0"/>
              <w:bottom w:val="single" w:color="000000" w:sz="4" w:space="0"/>
              <w:right w:val="single" w:color="000000" w:sz="4" w:space="0"/>
            </w:tcBorders>
          </w:tcPr>
          <w:p w14:paraId="0000006D">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100% </w:t>
            </w:r>
          </w:p>
        </w:tc>
        <w:tc>
          <w:tcPr>
            <w:tcBorders>
              <w:top w:val="single" w:color="000000" w:sz="4" w:space="0"/>
              <w:left w:val="single" w:color="000000" w:sz="4" w:space="0"/>
              <w:bottom w:val="single" w:color="000000" w:sz="4" w:space="0"/>
              <w:right w:val="single" w:color="000000" w:sz="4" w:space="0"/>
            </w:tcBorders>
          </w:tcPr>
          <w:p w14:paraId="0000006E">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100% </w:t>
            </w:r>
          </w:p>
        </w:tc>
      </w:tr>
      <w:tr w14:paraId="04293BA4">
        <w:tblPrEx>
          <w:tblCellMar>
            <w:top w:w="39" w:type="dxa"/>
            <w:left w:w="110" w:type="dxa"/>
            <w:bottom w:w="0" w:type="dxa"/>
            <w:right w:w="50" w:type="dxa"/>
          </w:tblCellMar>
        </w:tblPrEx>
        <w:trPr>
          <w:trHeight w:val="716" w:hRule="atLeast"/>
        </w:trPr>
        <w:tc>
          <w:tcPr>
            <w:vMerge w:val="restart"/>
            <w:tcBorders>
              <w:top w:val="single" w:color="000000" w:sz="4" w:space="0"/>
              <w:left w:val="single" w:color="000000" w:sz="4" w:space="0"/>
              <w:bottom w:val="single" w:color="000000" w:sz="4" w:space="0"/>
              <w:right w:val="single" w:color="000000" w:sz="4" w:space="0"/>
            </w:tcBorders>
          </w:tcPr>
          <w:p w14:paraId="0000006F">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 </w:t>
            </w:r>
          </w:p>
        </w:tc>
        <w:tc>
          <w:tcPr>
            <w:vMerge w:val="restart"/>
            <w:tcBorders>
              <w:top w:val="single" w:color="000000" w:sz="4" w:space="0"/>
              <w:left w:val="single" w:color="000000" w:sz="4" w:space="0"/>
              <w:bottom w:val="single" w:color="000000" w:sz="4" w:space="0"/>
              <w:right w:val="single" w:color="000000" w:sz="4" w:space="0"/>
            </w:tcBorders>
          </w:tcPr>
          <w:p w14:paraId="00000070">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Menempel </w:t>
            </w:r>
          </w:p>
        </w:tc>
        <w:tc>
          <w:tcPr>
            <w:tcBorders>
              <w:top w:val="single" w:color="000000" w:sz="4" w:space="0"/>
              <w:left w:val="single" w:color="000000" w:sz="4" w:space="0"/>
              <w:bottom w:val="single" w:color="000000" w:sz="4" w:space="0"/>
              <w:right w:val="single" w:color="000000" w:sz="4" w:space="0"/>
            </w:tcBorders>
          </w:tcPr>
          <w:p w14:paraId="00000071">
            <w:pPr>
              <w:spacing w:after="56"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Belum </w:t>
            </w:r>
          </w:p>
          <w:p w14:paraId="00000072">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73">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74">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75">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r w14:paraId="2D1E3851">
        <w:tblPrEx>
          <w:tblCellMar>
            <w:top w:w="39" w:type="dxa"/>
            <w:left w:w="110" w:type="dxa"/>
            <w:bottom w:w="0" w:type="dxa"/>
            <w:right w:w="50" w:type="dxa"/>
          </w:tblCellMar>
        </w:tblPrEx>
        <w:trPr>
          <w:trHeight w:val="715" w:hRule="atLeast"/>
        </w:trPr>
        <w:tc>
          <w:tcPr>
            <w:vMerge w:val="continue"/>
            <w:tcBorders>
              <w:top w:val="single" w:color="000000" w:sz="4" w:space="0"/>
              <w:left w:val="single" w:color="000000" w:sz="4" w:space="0"/>
              <w:bottom w:val="single" w:color="000000" w:sz="4" w:space="0"/>
              <w:right w:val="single" w:color="000000" w:sz="4" w:space="0"/>
            </w:tcBorders>
          </w:tcPr>
          <w:p w14:paraId="000000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78">
            <w:pPr>
              <w:spacing w:after="55"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Mulai </w:t>
            </w:r>
          </w:p>
          <w:p w14:paraId="00000079">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7A">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70% </w:t>
            </w:r>
          </w:p>
        </w:tc>
        <w:tc>
          <w:tcPr>
            <w:tcBorders>
              <w:top w:val="single" w:color="000000" w:sz="4" w:space="0"/>
              <w:left w:val="single" w:color="000000" w:sz="4" w:space="0"/>
              <w:bottom w:val="single" w:color="000000" w:sz="4" w:space="0"/>
              <w:right w:val="single" w:color="000000" w:sz="4" w:space="0"/>
            </w:tcBorders>
          </w:tcPr>
          <w:p w14:paraId="0000007B">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p>
        </w:tc>
        <w:tc>
          <w:tcPr>
            <w:tcBorders>
              <w:top w:val="single" w:color="000000" w:sz="4" w:space="0"/>
              <w:left w:val="single" w:color="000000" w:sz="4" w:space="0"/>
              <w:bottom w:val="single" w:color="000000" w:sz="4" w:space="0"/>
              <w:right w:val="single" w:color="000000" w:sz="4" w:space="0"/>
            </w:tcBorders>
          </w:tcPr>
          <w:p w14:paraId="0000007C">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p>
        </w:tc>
      </w:tr>
      <w:tr w14:paraId="44430704">
        <w:tblPrEx>
          <w:tblCellMar>
            <w:top w:w="39" w:type="dxa"/>
            <w:left w:w="110" w:type="dxa"/>
            <w:bottom w:w="0" w:type="dxa"/>
            <w:right w:w="50"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tcPr>
          <w:p w14:paraId="000000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7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7F">
            <w:pPr>
              <w:spacing w:after="51"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p w14:paraId="00000080">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Sesuai Harapan </w:t>
            </w:r>
          </w:p>
        </w:tc>
        <w:tc>
          <w:tcPr>
            <w:tcBorders>
              <w:top w:val="single" w:color="000000" w:sz="4" w:space="0"/>
              <w:left w:val="single" w:color="000000" w:sz="4" w:space="0"/>
              <w:bottom w:val="single" w:color="000000" w:sz="4" w:space="0"/>
              <w:right w:val="single" w:color="000000" w:sz="4" w:space="0"/>
            </w:tcBorders>
          </w:tcPr>
          <w:p w14:paraId="00000081">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82">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50% </w:t>
            </w:r>
          </w:p>
        </w:tc>
        <w:tc>
          <w:tcPr>
            <w:tcBorders>
              <w:top w:val="single" w:color="000000" w:sz="4" w:space="0"/>
              <w:left w:val="single" w:color="000000" w:sz="4" w:space="0"/>
              <w:bottom w:val="single" w:color="000000" w:sz="4" w:space="0"/>
              <w:right w:val="single" w:color="000000" w:sz="4" w:space="0"/>
            </w:tcBorders>
          </w:tcPr>
          <w:p w14:paraId="00000083">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50% </w:t>
            </w:r>
          </w:p>
        </w:tc>
      </w:tr>
      <w:tr w14:paraId="5BE5B99A">
        <w:tblPrEx>
          <w:tblCellMar>
            <w:top w:w="39" w:type="dxa"/>
            <w:left w:w="110" w:type="dxa"/>
            <w:bottom w:w="0" w:type="dxa"/>
            <w:right w:w="50" w:type="dxa"/>
          </w:tblCellMar>
        </w:tblPrEx>
        <w:trPr>
          <w:trHeight w:val="715" w:hRule="atLeast"/>
        </w:trPr>
        <w:tc>
          <w:tcPr>
            <w:vMerge w:val="continue"/>
            <w:tcBorders>
              <w:top w:val="single" w:color="000000" w:sz="4" w:space="0"/>
              <w:left w:val="single" w:color="000000" w:sz="4" w:space="0"/>
              <w:bottom w:val="single" w:color="000000" w:sz="4" w:space="0"/>
              <w:right w:val="single" w:color="000000" w:sz="4" w:space="0"/>
            </w:tcBorders>
          </w:tcPr>
          <w:p w14:paraId="000000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86">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Sangat Baik </w:t>
            </w:r>
          </w:p>
        </w:tc>
        <w:tc>
          <w:tcPr>
            <w:tcBorders>
              <w:top w:val="single" w:color="000000" w:sz="4" w:space="0"/>
              <w:left w:val="single" w:color="000000" w:sz="4" w:space="0"/>
              <w:bottom w:val="single" w:color="000000" w:sz="4" w:space="0"/>
              <w:right w:val="single" w:color="000000" w:sz="4" w:space="0"/>
            </w:tcBorders>
          </w:tcPr>
          <w:p w14:paraId="00000087">
            <w:pPr>
              <w:spacing w:after="0" w:line="240" w:lineRule="auto"/>
              <w:ind w:right="5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88">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89">
            <w:pPr>
              <w:spacing w:after="0" w:line="240" w:lineRule="auto"/>
              <w:ind w:right="59"/>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r>
    </w:tbl>
    <w:p w14:paraId="0000008A">
      <w:pPr>
        <w:tabs>
          <w:tab w:val="left" w:pos="960"/>
        </w:tabs>
        <w:spacing w:line="360" w:lineRule="auto"/>
        <w:rPr>
          <w:rFonts w:ascii="Times New Roman" w:hAnsi="Times New Roman" w:eastAsia="Times New Roman" w:cs="Times New Roman"/>
          <w:sz w:val="22"/>
          <w:szCs w:val="22"/>
        </w:rPr>
      </w:pPr>
    </w:p>
    <w:p w14:paraId="0000008B">
      <w:pPr>
        <w:spacing w:line="360" w:lineRule="auto"/>
        <w:ind w:left="720" w:firstLine="0"/>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Tabel. Rekapitulasi Setiap Siklus 2</w:t>
      </w:r>
    </w:p>
    <w:tbl>
      <w:tblPr>
        <w:tblStyle w:val="39"/>
        <w:tblW w:w="7070" w:type="dxa"/>
        <w:tblInd w:w="721" w:type="dxa"/>
        <w:tblLayout w:type="fixed"/>
        <w:tblCellMar>
          <w:top w:w="39" w:type="dxa"/>
          <w:left w:w="110" w:type="dxa"/>
          <w:bottom w:w="0" w:type="dxa"/>
          <w:right w:w="50" w:type="dxa"/>
        </w:tblCellMar>
      </w:tblPr>
      <w:tblGrid>
        <w:gridCol w:w="476"/>
        <w:gridCol w:w="1452"/>
        <w:gridCol w:w="1400"/>
        <w:gridCol w:w="1263"/>
        <w:gridCol w:w="1287"/>
        <w:gridCol w:w="1193"/>
      </w:tblGrid>
      <w:tr w14:paraId="659AA07F">
        <w:tblPrEx>
          <w:tblCellMar>
            <w:top w:w="39" w:type="dxa"/>
            <w:left w:w="110" w:type="dxa"/>
            <w:bottom w:w="0" w:type="dxa"/>
            <w:right w:w="50" w:type="dxa"/>
          </w:tblCellMar>
        </w:tblPrEx>
        <w:trPr>
          <w:trHeight w:val="607" w:hRule="atLeast"/>
        </w:trPr>
        <w:tc>
          <w:tcPr>
            <w:tcBorders>
              <w:top w:val="single" w:color="000000" w:sz="4" w:space="0"/>
              <w:left w:val="single" w:color="000000" w:sz="4" w:space="0"/>
              <w:bottom w:val="single" w:color="000000" w:sz="4" w:space="0"/>
              <w:right w:val="single" w:color="000000" w:sz="4" w:space="0"/>
            </w:tcBorders>
          </w:tcPr>
          <w:p w14:paraId="0000008C">
            <w:pPr>
              <w:spacing w:after="0" w:line="240" w:lineRule="auto"/>
              <w:jc w:val="left"/>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No </w:t>
            </w:r>
          </w:p>
        </w:tc>
        <w:tc>
          <w:tcPr>
            <w:tcBorders>
              <w:top w:val="single" w:color="000000" w:sz="4" w:space="0"/>
              <w:left w:val="single" w:color="000000" w:sz="4" w:space="0"/>
              <w:bottom w:val="single" w:color="000000" w:sz="4" w:space="0"/>
              <w:right w:val="single" w:color="000000" w:sz="4" w:space="0"/>
            </w:tcBorders>
          </w:tcPr>
          <w:p w14:paraId="0000008D">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Motorik Halus </w:t>
            </w:r>
          </w:p>
        </w:tc>
        <w:tc>
          <w:tcPr>
            <w:tcBorders>
              <w:top w:val="single" w:color="000000" w:sz="4" w:space="0"/>
              <w:left w:val="single" w:color="000000" w:sz="4" w:space="0"/>
              <w:bottom w:val="single" w:color="000000" w:sz="4" w:space="0"/>
              <w:right w:val="single" w:color="000000" w:sz="4" w:space="0"/>
            </w:tcBorders>
          </w:tcPr>
          <w:p w14:paraId="0000008E">
            <w:pPr>
              <w:spacing w:after="0" w:line="240" w:lineRule="auto"/>
              <w:ind w:right="65"/>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Kriteria </w:t>
            </w:r>
          </w:p>
        </w:tc>
        <w:tc>
          <w:tcPr>
            <w:tcBorders>
              <w:top w:val="single" w:color="000000" w:sz="4" w:space="0"/>
              <w:left w:val="single" w:color="000000" w:sz="4" w:space="0"/>
              <w:bottom w:val="single" w:color="000000" w:sz="4" w:space="0"/>
              <w:right w:val="single" w:color="000000" w:sz="4" w:space="0"/>
            </w:tcBorders>
          </w:tcPr>
          <w:p w14:paraId="0000008F">
            <w:pPr>
              <w:spacing w:after="0" w:line="240" w:lineRule="auto"/>
              <w:ind w:left="43" w:firstLine="0"/>
              <w:jc w:val="left"/>
              <w:rPr>
                <w:rFonts w:ascii="Times New Roman" w:hAnsi="Times New Roman" w:eastAsia="Times New Roman" w:cs="Times New Roman"/>
                <w:b/>
                <w:sz w:val="22"/>
                <w:szCs w:val="22"/>
              </w:rPr>
            </w:pPr>
          </w:p>
          <w:p w14:paraId="00000090">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Siklus 2 pertemuan 1 </w:t>
            </w:r>
          </w:p>
        </w:tc>
        <w:tc>
          <w:tcPr>
            <w:tcBorders>
              <w:top w:val="single" w:color="000000" w:sz="4" w:space="0"/>
              <w:left w:val="single" w:color="000000" w:sz="4" w:space="0"/>
              <w:bottom w:val="single" w:color="000000" w:sz="4" w:space="0"/>
              <w:right w:val="single" w:color="000000" w:sz="4" w:space="0"/>
            </w:tcBorders>
          </w:tcPr>
          <w:p w14:paraId="00000091">
            <w:pPr>
              <w:spacing w:after="0" w:line="240" w:lineRule="auto"/>
              <w:ind w:left="67" w:firstLine="0"/>
              <w:jc w:val="left"/>
              <w:rPr>
                <w:rFonts w:ascii="Times New Roman" w:hAnsi="Times New Roman" w:eastAsia="Times New Roman" w:cs="Times New Roman"/>
                <w:b/>
                <w:sz w:val="22"/>
                <w:szCs w:val="22"/>
              </w:rPr>
            </w:pPr>
          </w:p>
          <w:p w14:paraId="00000092">
            <w:pPr>
              <w:spacing w:after="0" w:line="240" w:lineRule="auto"/>
              <w:ind w:left="7" w:right="4" w:firstLine="0"/>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Siklus 2 pertemuan 2 </w:t>
            </w:r>
          </w:p>
        </w:tc>
        <w:tc>
          <w:tcPr>
            <w:tcBorders>
              <w:top w:val="single" w:color="000000" w:sz="4" w:space="0"/>
              <w:left w:val="single" w:color="000000" w:sz="4" w:space="0"/>
              <w:bottom w:val="single" w:color="000000" w:sz="4" w:space="0"/>
              <w:right w:val="single" w:color="000000" w:sz="4" w:space="0"/>
            </w:tcBorders>
          </w:tcPr>
          <w:p w14:paraId="00000093">
            <w:pPr>
              <w:spacing w:after="0" w:line="240" w:lineRule="auto"/>
              <w:ind w:left="62" w:firstLine="0"/>
              <w:jc w:val="left"/>
              <w:rPr>
                <w:rFonts w:ascii="Times New Roman" w:hAnsi="Times New Roman" w:eastAsia="Times New Roman" w:cs="Times New Roman"/>
                <w:b/>
                <w:sz w:val="22"/>
                <w:szCs w:val="22"/>
              </w:rPr>
            </w:pPr>
          </w:p>
          <w:p w14:paraId="00000094">
            <w:pPr>
              <w:spacing w:after="0" w:line="240" w:lineRule="auto"/>
              <w:ind w:left="2" w:right="4" w:firstLine="0"/>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Siklus 2 pertemuan 3 </w:t>
            </w:r>
          </w:p>
        </w:tc>
      </w:tr>
      <w:tr w14:paraId="52476548">
        <w:tblPrEx>
          <w:tblCellMar>
            <w:top w:w="39" w:type="dxa"/>
            <w:left w:w="110" w:type="dxa"/>
            <w:bottom w:w="0" w:type="dxa"/>
            <w:right w:w="50" w:type="dxa"/>
          </w:tblCellMar>
        </w:tblPrEx>
        <w:trPr>
          <w:trHeight w:val="605" w:hRule="atLeast"/>
        </w:trPr>
        <w:tc>
          <w:tcPr>
            <w:vMerge w:val="restart"/>
            <w:tcBorders>
              <w:top w:val="single" w:color="000000" w:sz="4" w:space="0"/>
              <w:left w:val="single" w:color="000000" w:sz="4" w:space="0"/>
              <w:bottom w:val="single" w:color="000000" w:sz="4" w:space="0"/>
              <w:right w:val="single" w:color="000000" w:sz="4" w:space="0"/>
            </w:tcBorders>
          </w:tcPr>
          <w:p w14:paraId="00000095">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 </w:t>
            </w:r>
          </w:p>
        </w:tc>
        <w:tc>
          <w:tcPr>
            <w:vMerge w:val="restart"/>
            <w:tcBorders>
              <w:top w:val="single" w:color="000000" w:sz="4" w:space="0"/>
              <w:left w:val="single" w:color="000000" w:sz="4" w:space="0"/>
              <w:bottom w:val="single" w:color="000000" w:sz="4" w:space="0"/>
              <w:right w:val="single" w:color="000000" w:sz="4" w:space="0"/>
            </w:tcBorders>
          </w:tcPr>
          <w:p w14:paraId="00000096">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Menggunting </w:t>
            </w:r>
          </w:p>
        </w:tc>
        <w:tc>
          <w:tcPr>
            <w:tcBorders>
              <w:top w:val="single" w:color="000000" w:sz="4" w:space="0"/>
              <w:left w:val="single" w:color="000000" w:sz="4" w:space="0"/>
              <w:bottom w:val="single" w:color="000000" w:sz="4" w:space="0"/>
              <w:right w:val="single" w:color="000000" w:sz="4" w:space="0"/>
            </w:tcBorders>
          </w:tcPr>
          <w:p w14:paraId="00000097">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Belum </w:t>
            </w:r>
          </w:p>
          <w:p w14:paraId="00000098">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99">
            <w:pPr>
              <w:spacing w:after="0" w:line="240" w:lineRule="auto"/>
              <w:ind w:right="6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9A">
            <w:pPr>
              <w:spacing w:after="0" w:line="240" w:lineRule="auto"/>
              <w:ind w:right="53"/>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9B">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r w14:paraId="01943C60">
        <w:tblPrEx>
          <w:tblCellMar>
            <w:top w:w="39" w:type="dxa"/>
            <w:left w:w="110" w:type="dxa"/>
            <w:bottom w:w="0" w:type="dxa"/>
            <w:right w:w="50" w:type="dxa"/>
          </w:tblCellMar>
        </w:tblPrEx>
        <w:trPr>
          <w:trHeight w:val="610" w:hRule="atLeast"/>
        </w:trPr>
        <w:tc>
          <w:tcPr>
            <w:vMerge w:val="continue"/>
            <w:tcBorders>
              <w:top w:val="single" w:color="000000" w:sz="4" w:space="0"/>
              <w:left w:val="single" w:color="000000" w:sz="4" w:space="0"/>
              <w:bottom w:val="single" w:color="000000" w:sz="4" w:space="0"/>
              <w:right w:val="single" w:color="000000" w:sz="4" w:space="0"/>
            </w:tcBorders>
          </w:tcPr>
          <w:p w14:paraId="000000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9E">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Mulai </w:t>
            </w:r>
          </w:p>
          <w:p w14:paraId="0000009F">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A0">
            <w:pPr>
              <w:spacing w:after="0" w:line="240" w:lineRule="auto"/>
              <w:ind w:right="68"/>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A1">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 </w:t>
            </w:r>
          </w:p>
        </w:tc>
        <w:tc>
          <w:tcPr>
            <w:tcBorders>
              <w:top w:val="single" w:color="000000" w:sz="4" w:space="0"/>
              <w:left w:val="single" w:color="000000" w:sz="4" w:space="0"/>
              <w:bottom w:val="single" w:color="000000" w:sz="4" w:space="0"/>
              <w:right w:val="single" w:color="000000" w:sz="4" w:space="0"/>
            </w:tcBorders>
          </w:tcPr>
          <w:p w14:paraId="000000A2">
            <w:pPr>
              <w:spacing w:after="0" w:line="240" w:lineRule="auto"/>
              <w:ind w:right="62"/>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 </w:t>
            </w:r>
          </w:p>
        </w:tc>
      </w:tr>
      <w:tr w14:paraId="07C4C09B">
        <w:tblPrEx>
          <w:tblCellMar>
            <w:top w:w="39" w:type="dxa"/>
            <w:left w:w="110" w:type="dxa"/>
            <w:bottom w:w="0" w:type="dxa"/>
            <w:right w:w="50" w:type="dxa"/>
          </w:tblCellMar>
        </w:tblPrEx>
        <w:trPr>
          <w:trHeight w:val="908" w:hRule="atLeast"/>
        </w:trPr>
        <w:tc>
          <w:tcPr>
            <w:vMerge w:val="continue"/>
            <w:tcBorders>
              <w:top w:val="single" w:color="000000" w:sz="4" w:space="0"/>
              <w:left w:val="single" w:color="000000" w:sz="4" w:space="0"/>
              <w:bottom w:val="single" w:color="000000" w:sz="4" w:space="0"/>
              <w:right w:val="single" w:color="000000" w:sz="4" w:space="0"/>
            </w:tcBorders>
          </w:tcPr>
          <w:p w14:paraId="000000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A5">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p w14:paraId="000000A6">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Sesuai </w:t>
            </w:r>
          </w:p>
          <w:p w14:paraId="000000A7">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Harapan </w:t>
            </w:r>
          </w:p>
        </w:tc>
        <w:tc>
          <w:tcPr>
            <w:tcBorders>
              <w:top w:val="single" w:color="000000" w:sz="4" w:space="0"/>
              <w:left w:val="single" w:color="000000" w:sz="4" w:space="0"/>
              <w:bottom w:val="single" w:color="000000" w:sz="4" w:space="0"/>
              <w:right w:val="single" w:color="000000" w:sz="4" w:space="0"/>
            </w:tcBorders>
          </w:tcPr>
          <w:p w14:paraId="000000A8">
            <w:pPr>
              <w:spacing w:after="0" w:line="240" w:lineRule="auto"/>
              <w:ind w:right="68"/>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A9">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p>
        </w:tc>
        <w:tc>
          <w:tcPr>
            <w:tcBorders>
              <w:top w:val="single" w:color="000000" w:sz="4" w:space="0"/>
              <w:left w:val="single" w:color="000000" w:sz="4" w:space="0"/>
              <w:bottom w:val="single" w:color="000000" w:sz="4" w:space="0"/>
              <w:right w:val="single" w:color="000000" w:sz="4" w:space="0"/>
            </w:tcBorders>
          </w:tcPr>
          <w:p w14:paraId="000000AA">
            <w:pPr>
              <w:spacing w:after="0" w:line="240" w:lineRule="auto"/>
              <w:ind w:right="62"/>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p>
        </w:tc>
      </w:tr>
      <w:tr w14:paraId="4E90616F">
        <w:tblPrEx>
          <w:tblCellMar>
            <w:top w:w="39" w:type="dxa"/>
            <w:left w:w="110" w:type="dxa"/>
            <w:bottom w:w="0" w:type="dxa"/>
            <w:right w:w="50" w:type="dxa"/>
          </w:tblCellMar>
        </w:tblPrEx>
        <w:trPr>
          <w:trHeight w:val="605" w:hRule="atLeast"/>
        </w:trPr>
        <w:tc>
          <w:tcPr>
            <w:vMerge w:val="continue"/>
            <w:tcBorders>
              <w:top w:val="single" w:color="000000" w:sz="4" w:space="0"/>
              <w:left w:val="single" w:color="000000" w:sz="4" w:space="0"/>
              <w:bottom w:val="single" w:color="000000" w:sz="4" w:space="0"/>
              <w:right w:val="single" w:color="000000" w:sz="4" w:space="0"/>
            </w:tcBorders>
          </w:tcPr>
          <w:p w14:paraId="000000A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AD">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Sangat Baik </w:t>
            </w:r>
          </w:p>
        </w:tc>
        <w:tc>
          <w:tcPr>
            <w:tcBorders>
              <w:top w:val="single" w:color="000000" w:sz="4" w:space="0"/>
              <w:left w:val="single" w:color="000000" w:sz="4" w:space="0"/>
              <w:bottom w:val="single" w:color="000000" w:sz="4" w:space="0"/>
              <w:right w:val="single" w:color="000000" w:sz="4" w:space="0"/>
            </w:tcBorders>
          </w:tcPr>
          <w:p w14:paraId="000000AE">
            <w:pPr>
              <w:spacing w:after="0" w:line="240" w:lineRule="auto"/>
              <w:ind w:right="68"/>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AF">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70% </w:t>
            </w:r>
          </w:p>
        </w:tc>
        <w:tc>
          <w:tcPr>
            <w:tcBorders>
              <w:top w:val="single" w:color="000000" w:sz="4" w:space="0"/>
              <w:left w:val="single" w:color="000000" w:sz="4" w:space="0"/>
              <w:bottom w:val="single" w:color="000000" w:sz="4" w:space="0"/>
              <w:right w:val="single" w:color="000000" w:sz="4" w:space="0"/>
            </w:tcBorders>
          </w:tcPr>
          <w:p w14:paraId="000000B0">
            <w:pPr>
              <w:spacing w:after="0" w:line="240" w:lineRule="auto"/>
              <w:ind w:right="62"/>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70% </w:t>
            </w:r>
          </w:p>
        </w:tc>
      </w:tr>
      <w:tr w14:paraId="713EF40B">
        <w:tblPrEx>
          <w:tblCellMar>
            <w:top w:w="39" w:type="dxa"/>
            <w:left w:w="110" w:type="dxa"/>
            <w:bottom w:w="0" w:type="dxa"/>
            <w:right w:w="50" w:type="dxa"/>
          </w:tblCellMar>
        </w:tblPrEx>
        <w:trPr>
          <w:trHeight w:val="470" w:hRule="atLeast"/>
        </w:trPr>
        <w:tc>
          <w:tcPr>
            <w:vMerge w:val="continue"/>
            <w:tcBorders>
              <w:top w:val="single" w:color="000000" w:sz="4" w:space="0"/>
              <w:left w:val="single" w:color="000000" w:sz="4" w:space="0"/>
              <w:bottom w:val="single" w:color="000000" w:sz="4" w:space="0"/>
              <w:right w:val="single" w:color="000000" w:sz="4" w:space="0"/>
            </w:tcBorders>
          </w:tcPr>
          <w:p w14:paraId="000000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B3">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Jumlah </w:t>
            </w:r>
          </w:p>
        </w:tc>
        <w:tc>
          <w:tcPr>
            <w:tcBorders>
              <w:top w:val="single" w:color="000000" w:sz="4" w:space="0"/>
              <w:left w:val="single" w:color="000000" w:sz="4" w:space="0"/>
              <w:bottom w:val="single" w:color="000000" w:sz="4" w:space="0"/>
              <w:right w:val="single" w:color="000000" w:sz="4" w:space="0"/>
            </w:tcBorders>
          </w:tcPr>
          <w:p w14:paraId="000000B4">
            <w:pPr>
              <w:spacing w:after="0" w:line="240" w:lineRule="auto"/>
              <w:ind w:right="6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100% </w:t>
            </w:r>
          </w:p>
        </w:tc>
        <w:tc>
          <w:tcPr>
            <w:tcBorders>
              <w:top w:val="single" w:color="000000" w:sz="4" w:space="0"/>
              <w:left w:val="single" w:color="000000" w:sz="4" w:space="0"/>
              <w:bottom w:val="single" w:color="000000" w:sz="4" w:space="0"/>
              <w:right w:val="single" w:color="000000" w:sz="4" w:space="0"/>
            </w:tcBorders>
          </w:tcPr>
          <w:p w14:paraId="000000B5">
            <w:pPr>
              <w:spacing w:after="0" w:line="240" w:lineRule="auto"/>
              <w:ind w:right="53"/>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100% </w:t>
            </w:r>
          </w:p>
        </w:tc>
        <w:tc>
          <w:tcPr>
            <w:tcBorders>
              <w:top w:val="single" w:color="000000" w:sz="4" w:space="0"/>
              <w:left w:val="single" w:color="000000" w:sz="4" w:space="0"/>
              <w:bottom w:val="single" w:color="000000" w:sz="4" w:space="0"/>
              <w:right w:val="single" w:color="000000" w:sz="4" w:space="0"/>
            </w:tcBorders>
          </w:tcPr>
          <w:p w14:paraId="000000B6">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100% </w:t>
            </w:r>
          </w:p>
        </w:tc>
      </w:tr>
      <w:tr w14:paraId="56E7F414">
        <w:tblPrEx>
          <w:tblCellMar>
            <w:top w:w="39" w:type="dxa"/>
            <w:left w:w="110" w:type="dxa"/>
            <w:bottom w:w="0" w:type="dxa"/>
            <w:right w:w="50" w:type="dxa"/>
          </w:tblCellMar>
        </w:tblPrEx>
        <w:trPr>
          <w:trHeight w:val="557" w:hRule="atLeast"/>
        </w:trPr>
        <w:tc>
          <w:tcPr>
            <w:vMerge w:val="restart"/>
            <w:tcBorders>
              <w:top w:val="single" w:color="000000" w:sz="4" w:space="0"/>
              <w:left w:val="single" w:color="000000" w:sz="4" w:space="0"/>
              <w:bottom w:val="single" w:color="000000" w:sz="4" w:space="0"/>
              <w:right w:val="single" w:color="000000" w:sz="4" w:space="0"/>
            </w:tcBorders>
          </w:tcPr>
          <w:p w14:paraId="000000B7">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 </w:t>
            </w:r>
          </w:p>
        </w:tc>
        <w:tc>
          <w:tcPr>
            <w:vMerge w:val="restart"/>
            <w:tcBorders>
              <w:top w:val="single" w:color="000000" w:sz="4" w:space="0"/>
              <w:left w:val="single" w:color="000000" w:sz="4" w:space="0"/>
              <w:bottom w:val="single" w:color="000000" w:sz="4" w:space="0"/>
              <w:right w:val="single" w:color="000000" w:sz="4" w:space="0"/>
            </w:tcBorders>
          </w:tcPr>
          <w:p w14:paraId="000000B8">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Menempel </w:t>
            </w:r>
          </w:p>
        </w:tc>
        <w:tc>
          <w:tcPr>
            <w:tcBorders>
              <w:top w:val="single" w:color="000000" w:sz="4" w:space="0"/>
              <w:left w:val="single" w:color="000000" w:sz="4" w:space="0"/>
              <w:bottom w:val="single" w:color="000000" w:sz="4" w:space="0"/>
              <w:right w:val="single" w:color="000000" w:sz="4" w:space="0"/>
            </w:tcBorders>
          </w:tcPr>
          <w:p w14:paraId="000000B9">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Belum </w:t>
            </w:r>
          </w:p>
          <w:p w14:paraId="000000BA">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BB">
            <w:pPr>
              <w:spacing w:after="0" w:line="240" w:lineRule="auto"/>
              <w:ind w:right="6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BC">
            <w:pPr>
              <w:spacing w:after="0" w:line="240" w:lineRule="auto"/>
              <w:ind w:right="53"/>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BD">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r w14:paraId="19FAD31D">
        <w:tblPrEx>
          <w:tblCellMar>
            <w:top w:w="39" w:type="dxa"/>
            <w:left w:w="110" w:type="dxa"/>
            <w:bottom w:w="0" w:type="dxa"/>
            <w:right w:w="50" w:type="dxa"/>
          </w:tblCellMar>
        </w:tblPrEx>
        <w:trPr>
          <w:trHeight w:val="557" w:hRule="atLeast"/>
        </w:trPr>
        <w:tc>
          <w:tcPr>
            <w:vMerge w:val="continue"/>
            <w:tcBorders>
              <w:top w:val="single" w:color="000000" w:sz="4" w:space="0"/>
              <w:left w:val="single" w:color="000000" w:sz="4" w:space="0"/>
              <w:bottom w:val="single" w:color="000000" w:sz="4" w:space="0"/>
              <w:right w:val="single" w:color="000000" w:sz="4" w:space="0"/>
            </w:tcBorders>
          </w:tcPr>
          <w:p w14:paraId="000000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C0">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Mulai </w:t>
            </w:r>
          </w:p>
          <w:p w14:paraId="000000C1">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tc>
        <w:tc>
          <w:tcPr>
            <w:tcBorders>
              <w:top w:val="single" w:color="000000" w:sz="4" w:space="0"/>
              <w:left w:val="single" w:color="000000" w:sz="4" w:space="0"/>
              <w:bottom w:val="single" w:color="000000" w:sz="4" w:space="0"/>
              <w:right w:val="single" w:color="000000" w:sz="4" w:space="0"/>
            </w:tcBorders>
          </w:tcPr>
          <w:p w14:paraId="000000C2">
            <w:pPr>
              <w:spacing w:after="0" w:line="240" w:lineRule="auto"/>
              <w:ind w:right="64"/>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C3">
            <w:pPr>
              <w:spacing w:after="0" w:line="240" w:lineRule="auto"/>
              <w:ind w:right="53"/>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C4">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 </w:t>
            </w:r>
          </w:p>
        </w:tc>
      </w:tr>
      <w:tr w14:paraId="0ED3DD32">
        <w:tblPrEx>
          <w:tblCellMar>
            <w:top w:w="39" w:type="dxa"/>
            <w:left w:w="110" w:type="dxa"/>
            <w:bottom w:w="0" w:type="dxa"/>
            <w:right w:w="50" w:type="dxa"/>
          </w:tblCellMar>
        </w:tblPrEx>
        <w:trPr>
          <w:trHeight w:val="835" w:hRule="atLeast"/>
        </w:trPr>
        <w:tc>
          <w:tcPr>
            <w:vMerge w:val="continue"/>
            <w:tcBorders>
              <w:top w:val="single" w:color="000000" w:sz="4" w:space="0"/>
              <w:left w:val="single" w:color="000000" w:sz="4" w:space="0"/>
              <w:bottom w:val="single" w:color="000000" w:sz="4" w:space="0"/>
              <w:right w:val="single" w:color="000000" w:sz="4" w:space="0"/>
            </w:tcBorders>
          </w:tcPr>
          <w:p w14:paraId="000000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C7">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w:t>
            </w:r>
          </w:p>
          <w:p w14:paraId="000000C8">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Sesuai </w:t>
            </w:r>
          </w:p>
          <w:p w14:paraId="000000C9">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Harapan </w:t>
            </w:r>
          </w:p>
        </w:tc>
        <w:tc>
          <w:tcPr>
            <w:tcBorders>
              <w:top w:val="single" w:color="000000" w:sz="4" w:space="0"/>
              <w:left w:val="single" w:color="000000" w:sz="4" w:space="0"/>
              <w:bottom w:val="single" w:color="000000" w:sz="4" w:space="0"/>
              <w:right w:val="single" w:color="000000" w:sz="4" w:space="0"/>
            </w:tcBorders>
          </w:tcPr>
          <w:p w14:paraId="000000CA">
            <w:pPr>
              <w:spacing w:after="0" w:line="240" w:lineRule="auto"/>
              <w:ind w:right="68"/>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30% </w:t>
            </w:r>
          </w:p>
        </w:tc>
        <w:tc>
          <w:tcPr>
            <w:tcBorders>
              <w:top w:val="single" w:color="000000" w:sz="4" w:space="0"/>
              <w:left w:val="single" w:color="000000" w:sz="4" w:space="0"/>
              <w:bottom w:val="single" w:color="000000" w:sz="4" w:space="0"/>
              <w:right w:val="single" w:color="000000" w:sz="4" w:space="0"/>
            </w:tcBorders>
          </w:tcPr>
          <w:p w14:paraId="000000CB">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p>
        </w:tc>
        <w:tc>
          <w:tcPr>
            <w:tcBorders>
              <w:top w:val="single" w:color="000000" w:sz="4" w:space="0"/>
              <w:left w:val="single" w:color="000000" w:sz="4" w:space="0"/>
              <w:bottom w:val="single" w:color="000000" w:sz="4" w:space="0"/>
              <w:right w:val="single" w:color="000000" w:sz="4" w:space="0"/>
            </w:tcBorders>
          </w:tcPr>
          <w:p w14:paraId="000000CC">
            <w:pPr>
              <w:spacing w:after="0" w:line="240" w:lineRule="auto"/>
              <w:ind w:right="62"/>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p>
        </w:tc>
      </w:tr>
      <w:tr w14:paraId="624B7F28">
        <w:tblPrEx>
          <w:tblCellMar>
            <w:top w:w="39" w:type="dxa"/>
            <w:left w:w="110" w:type="dxa"/>
            <w:bottom w:w="0" w:type="dxa"/>
            <w:right w:w="50" w:type="dxa"/>
          </w:tblCellMar>
        </w:tblPrEx>
        <w:trPr>
          <w:trHeight w:val="557" w:hRule="atLeast"/>
        </w:trPr>
        <w:tc>
          <w:tcPr>
            <w:vMerge w:val="continue"/>
            <w:tcBorders>
              <w:top w:val="single" w:color="000000" w:sz="4" w:space="0"/>
              <w:left w:val="single" w:color="000000" w:sz="4" w:space="0"/>
              <w:bottom w:val="single" w:color="000000" w:sz="4" w:space="0"/>
              <w:right w:val="single" w:color="000000" w:sz="4" w:space="0"/>
            </w:tcBorders>
          </w:tcPr>
          <w:p w14:paraId="000000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Pr>
          <w:p w14:paraId="000000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2"/>
                <w:szCs w:val="22"/>
              </w:rPr>
            </w:pPr>
          </w:p>
        </w:tc>
        <w:tc>
          <w:tcPr>
            <w:tcBorders>
              <w:top w:val="single" w:color="000000" w:sz="4" w:space="0"/>
              <w:left w:val="single" w:color="000000" w:sz="4" w:space="0"/>
              <w:bottom w:val="single" w:color="000000" w:sz="4" w:space="0"/>
              <w:right w:val="single" w:color="000000" w:sz="4" w:space="0"/>
            </w:tcBorders>
          </w:tcPr>
          <w:p w14:paraId="000000CF">
            <w:pPr>
              <w:spacing w:after="0" w:line="240" w:lineRule="auto"/>
              <w:jc w:val="left"/>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Berkembang Sangat Baik </w:t>
            </w:r>
          </w:p>
        </w:tc>
        <w:tc>
          <w:tcPr>
            <w:tcBorders>
              <w:top w:val="single" w:color="000000" w:sz="4" w:space="0"/>
              <w:left w:val="single" w:color="000000" w:sz="4" w:space="0"/>
              <w:bottom w:val="single" w:color="000000" w:sz="4" w:space="0"/>
              <w:right w:val="single" w:color="000000" w:sz="4" w:space="0"/>
            </w:tcBorders>
          </w:tcPr>
          <w:p w14:paraId="000000D0">
            <w:pPr>
              <w:spacing w:after="0" w:line="240" w:lineRule="auto"/>
              <w:ind w:right="68"/>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70% </w:t>
            </w:r>
          </w:p>
        </w:tc>
        <w:tc>
          <w:tcPr>
            <w:tcBorders>
              <w:top w:val="single" w:color="000000" w:sz="4" w:space="0"/>
              <w:left w:val="single" w:color="000000" w:sz="4" w:space="0"/>
              <w:bottom w:val="single" w:color="000000" w:sz="4" w:space="0"/>
              <w:right w:val="single" w:color="000000" w:sz="4" w:space="0"/>
            </w:tcBorders>
          </w:tcPr>
          <w:p w14:paraId="000000D1">
            <w:pPr>
              <w:spacing w:after="0" w:line="240" w:lineRule="auto"/>
              <w:ind w:right="57"/>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80% </w:t>
            </w:r>
          </w:p>
        </w:tc>
        <w:tc>
          <w:tcPr>
            <w:tcBorders>
              <w:top w:val="single" w:color="000000" w:sz="4" w:space="0"/>
              <w:left w:val="single" w:color="000000" w:sz="4" w:space="0"/>
              <w:bottom w:val="single" w:color="000000" w:sz="4" w:space="0"/>
              <w:right w:val="single" w:color="000000" w:sz="4" w:space="0"/>
            </w:tcBorders>
          </w:tcPr>
          <w:p w14:paraId="000000D2">
            <w:pPr>
              <w:spacing w:after="0" w:line="240" w:lineRule="auto"/>
              <w:ind w:right="62"/>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80% </w:t>
            </w:r>
          </w:p>
        </w:tc>
      </w:tr>
    </w:tbl>
    <w:p w14:paraId="000000D3">
      <w:pPr>
        <w:spacing w:after="0" w:line="240" w:lineRule="auto"/>
        <w:ind w:right="0" w:firstLine="706"/>
        <w:rPr>
          <w:rFonts w:ascii="Times New Roman" w:hAnsi="Times New Roman" w:eastAsia="Times New Roman" w:cs="Times New Roman"/>
          <w:sz w:val="22"/>
          <w:szCs w:val="22"/>
        </w:rPr>
      </w:pPr>
    </w:p>
    <w:p w14:paraId="000000D4">
      <w:pPr>
        <w:spacing w:after="0" w:line="360" w:lineRule="auto"/>
        <w:ind w:right="0"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Pada Siklus 1, kemampuan motorik halus anak pada kegiatan menggunting menunjukkan peningkatan bertahap. Anak-anak yang berada pada kategori "Belum Berkembang" berkurang dari 20% di Pertemuan 1 menjadi 10% di Pertemuan 2 dan Pertemuan 3, sementara kategori "Berkembang Sangat Baik" mulai terlihat pada Pertemuan 2 sebesar 30% dan stabil hingga Pertemuan 3. Pada Siklus 2, kategori "Mulai Berkembang" mengalami penurunan dari 30% menjadi 10%, seiring dengan peningkatan signifikan pada kategori "Berkembang Sangat Baik" dari 30% di Pertemuan 1 menjadi 70% di Pertemuan 2 dan Pertemuan 3. Hal ini menunjukkan adanya transisi positif dari kemampuan dasar ke tingkat mahir, dengan lebih banyak anak yang mencapai kategori optimal pada Siklus 2. </w:t>
      </w:r>
    </w:p>
    <w:p w14:paraId="000000D5">
      <w:pPr>
        <w:numPr>
          <w:ilvl w:val="0"/>
          <w:numId w:val="1"/>
        </w:numPr>
        <w:spacing w:after="0" w:line="360" w:lineRule="auto"/>
        <w:ind w:left="284" w:right="0" w:hanging="284"/>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Perkembangan Kemampuan Menempel </w:t>
      </w:r>
    </w:p>
    <w:p w14:paraId="000000D6">
      <w:pPr>
        <w:spacing w:after="0" w:line="360" w:lineRule="auto"/>
        <w:ind w:right="0"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Pada kegiatan menempel, Siklus 1 memperlihatkan pergeseran dari kategori "Mulai Berkembang" sebesar 70% di Pertemuan 1 menjadi 20% di Pertemuan 2 dan Pertemuan 3, yang diimbangi oleh peningkatan pada kategori "Berkembang Sangat Baik" dari 0% menjadi 30% di Pertemuan 2 dan 3. Pada Siklus 2, kategori "Berkembang Sesuai Harapan" menurun dari 30% menjadi 20%, sedangkan kategori "Berkembang Sangat Baik" terus meningkat hingga 80%. Tren ini menunjukkan adanya perkembangan signifikan dalam keterampilan motorik halus, dengan lebih banyak anak mencapai level tertinggi pada kegiatan menempel. </w:t>
      </w:r>
    </w:p>
    <w:p w14:paraId="000000D7">
      <w:pPr>
        <w:spacing w:after="0" w:line="360" w:lineRule="auto"/>
        <w:ind w:right="0"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Hasil ini sesuai dengan teori perkembangan motorik halus oleh Jean Piaget, yang menyatakan bahwa anak usia dini (tahap praoperasional) berkembang melalui interaksi aktif dengan lingkungan sekitarnya. Dalam kegiatan menggunting dan menempel, anak menggunakan keterampilan visual-motorik, koordinasi tangan-mata, dan kontrol otot kecil, yang merupakan inti dari perkembangan motorik halus. Lev Vygotsky juga menekankan pentingnya scaffolding dalam mendukung anak mencapai potensi perkembangan maksimal. Dalam hal ini, pemberian dukungan seperti demonstrasi, arahan verbal, dan kesempatan berlatih telah membantu anak berpindah dari kategori "Belum Berkembang" atau "Mulai Berkembang" ke kategori yang lebih tinggi. </w:t>
      </w:r>
    </w:p>
    <w:p w14:paraId="000000D8">
      <w:pPr>
        <w:spacing w:after="0" w:line="360" w:lineRule="auto"/>
        <w:ind w:right="0"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Hasil penelitian ini memperkuat temuan Mustafa dan Handayani (2021) yang menunjukkan bahwa aktivitas terstruktur seperti menggunting dan menempel secara signifikan meningkatkan perkembangan motorik halus anak. Namun, ada perbedaan dalam tingkat pencapaian kategori "Berkembang Sangat Baik" pada penelitian ini yang lebih tinggi dibandingkan penelitian serupa. Hal ini kemungkinan disebabkan oleh pendekatan pengajaran yang lebih berfokus pada individualisasi kebutuhan anak, seperti memberikan instruksi yang fleksibel dan materi pembelajaran yang bervariasi. </w:t>
      </w:r>
    </w:p>
    <w:p w14:paraId="000000D9">
      <w:pPr>
        <w:spacing w:after="0" w:line="360" w:lineRule="auto"/>
        <w:ind w:right="0"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Selain itu, penelitian ini juga berbeda dari temuan Nuryani (2019), yang mencatat bahwa sebagian besar anak membutuhkan waktu lebih lama untuk mencapai kategori "Berkembang Sangat Baik" pada kegiatan motorik halus. Perbedaan ini dapat disebabkan oleh frekuensi interaksi dan lingkungan belajar yang lebih mendukung dalam penelitian ini, seperti penggunaan alat bantu yang menarik dan suasana belajar yang menyenangkan. </w:t>
      </w:r>
    </w:p>
    <w:p w14:paraId="000000DA">
      <w:pPr>
        <w:spacing w:after="0" w:line="360" w:lineRule="auto"/>
        <w:ind w:right="0"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Secara keseluruhan, hasil penelitian menunjukkan perkembangan signifikan dalam kemampuan motorik halus anak pada kegiatan menggunting dan menempel dari Siklus 1 ke Siklus 2. Pendekatan berbasis teori perkembangan kognitif dan sosial membantu anak-anak mencapai kategori yang lebih tinggi, yang mengindikasikan efektivitas metode pembelajaran yang digunakan. Penemuan ini dapat menjadi rujukan untuk pengembangan program pembelajaran motorik halus yang lebih optimal di masa depan. </w:t>
      </w:r>
    </w:p>
    <w:p w14:paraId="000000DB">
      <w:pPr>
        <w:tabs>
          <w:tab w:val="left" w:pos="960"/>
        </w:tabs>
        <w:spacing w:after="0" w:line="360" w:lineRule="auto"/>
        <w:ind w:right="0"/>
        <w:rPr>
          <w:rFonts w:ascii="Times New Roman" w:hAnsi="Times New Roman" w:eastAsia="Times New Roman" w:cs="Times New Roman"/>
          <w:sz w:val="22"/>
          <w:szCs w:val="22"/>
        </w:rPr>
      </w:pPr>
    </w:p>
    <w:p w14:paraId="000000DC">
      <w:pPr>
        <w:spacing w:after="0" w:line="360"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KESIMPULAN</w:t>
      </w:r>
    </w:p>
    <w:p w14:paraId="000000DD">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Berdasarkan hasil penelitian yang telah dilakukan melalui dua siklus pembelajaran mengenai keterampilan motorik halus anak 4-5 Tahun, dapat disimpulkan bahwa kegiatan yang melibatkan keterampilan menggunting dan menempel memberikan dampak positif terhadap perkembangan motorik halus anak. Pada Siklus 1, kegiatan menggunting menunjukkan 20% anak berada pada kategori Belum Berkembang, 50% pada kategori Mulai Berkembang, 30% pada Berkembang Sesuai Harapan, dan tidak ada anak pada kategori Berkembang Sangat Baik. Namun, pada Siklus 2, terdapat peningkatan yang signifikan pada kategori Berkembang Sangat Baik, dengan 30% anak mencapai kategori ini pada pertemuan pertama, 70% pada pertemuan kedua, dan 70% pada pertemuan ketiga. </w:t>
      </w:r>
    </w:p>
    <w:p w14:paraId="000000DE">
      <w:pPr>
        <w:spacing w:after="0" w:line="360" w:lineRule="auto"/>
        <w:ind w:right="1"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Untuk keterampilan menempel, pada Siklus 1, terdapat 70% anak pada kategori Mulai Berkembang dan 30% pada kategori Berkembang Sesuai Harapan. Sedangkan pada Siklus 2, 70% anak mencapai kategori Berkembang Sangat Baik pada pertemuan pertama, 80% pada pertemuan kedua, dan 80% pada pertemuan ketiga. Hal ini menunjukkan adanya peningkatan perkembangan keterampilan motorik halus anak, yang didukung oleh teori Jean Piaget yang menekankan pentingnya pengalaman langsung dan Lev Vygotsky yang mengungkapkan pentingnya dukungan sosial dalam proses pembelajaran anak. </w:t>
      </w:r>
    </w:p>
    <w:p w14:paraId="000000DF">
      <w:pPr>
        <w:spacing w:after="0" w:line="360" w:lineRule="auto"/>
        <w:ind w:right="198" w:firstLine="706"/>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Secara keseluruhan, terdapat peningkatan yang signifikan dalam keterampilan menggunting dan menempel pada Siklus 2, terutama pada kategori Berkembang Sangat Baik, yang menunjukkan bahwa pendekatan yang diterapkan pada siklus kedua lebih efektif.. </w:t>
      </w:r>
    </w:p>
    <w:p w14:paraId="000000E0">
      <w:pPr>
        <w:spacing w:after="0" w:line="360" w:lineRule="auto"/>
        <w:rPr>
          <w:rFonts w:ascii="Times New Roman" w:hAnsi="Times New Roman" w:eastAsia="Times New Roman" w:cs="Times New Roman"/>
          <w:b/>
          <w:sz w:val="22"/>
          <w:szCs w:val="22"/>
        </w:rPr>
      </w:pPr>
    </w:p>
    <w:p w14:paraId="000000E1">
      <w:pPr>
        <w:spacing w:after="0" w:line="276" w:lineRule="auto"/>
        <w:rPr>
          <w:rFonts w:ascii="Times New Roman" w:hAnsi="Times New Roman" w:eastAsia="Times New Roman" w:cs="Times New Roman"/>
          <w:b/>
          <w:sz w:val="22"/>
          <w:szCs w:val="22"/>
        </w:rPr>
      </w:pPr>
    </w:p>
    <w:p w14:paraId="000000E2">
      <w:pPr>
        <w:spacing w:after="0" w:line="276"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DAFTAR PUSTAKA</w:t>
      </w:r>
      <w:r>
        <w:rPr>
          <w:rFonts w:ascii="Times New Roman" w:hAnsi="Times New Roman" w:eastAsia="Times New Roman" w:cs="Times New Roman"/>
          <w:sz w:val="22"/>
          <w:szCs w:val="22"/>
          <w:rtl w:val="0"/>
        </w:rPr>
        <w:t xml:space="preserve"> </w:t>
      </w:r>
    </w:p>
    <w:p w14:paraId="000000E3">
      <w:pPr>
        <w:spacing w:before="0" w:after="200" w:line="240" w:lineRule="auto"/>
        <w:ind w:left="466" w:right="1" w:hanging="481"/>
        <w:rPr>
          <w:rFonts w:ascii="Times New Roman" w:hAnsi="Times New Roman" w:eastAsia="Times New Roman" w:cs="Times New Roman"/>
          <w:sz w:val="22"/>
          <w:szCs w:val="22"/>
        </w:rPr>
      </w:pPr>
    </w:p>
    <w:p w14:paraId="000000E4">
      <w:pPr>
        <w:spacing w:before="0" w:after="200"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 S. Arikunto, </w:t>
      </w:r>
      <w:r>
        <w:rPr>
          <w:rFonts w:ascii="Times New Roman" w:hAnsi="Times New Roman" w:eastAsia="Times New Roman" w:cs="Times New Roman"/>
          <w:i/>
          <w:sz w:val="22"/>
          <w:szCs w:val="22"/>
          <w:rtl w:val="0"/>
        </w:rPr>
        <w:t>Penelitian Tindakan Kelas</w:t>
      </w:r>
      <w:r>
        <w:rPr>
          <w:rFonts w:ascii="Times New Roman" w:hAnsi="Times New Roman" w:eastAsia="Times New Roman" w:cs="Times New Roman"/>
          <w:sz w:val="22"/>
          <w:szCs w:val="22"/>
          <w:rtl w:val="0"/>
        </w:rPr>
        <w:t>. Jakarta: Bumi Aksara, 2015.</w:t>
      </w:r>
    </w:p>
    <w:p w14:paraId="000000E5">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[2] R. Aulia, R. Santoso, dan N. D. Pramanik, “Penggunaan alat permainan edukatif barang bekas untuk mengembangkan kreativitas anak usia 5–6 tahun di Kober Nurul Huda Albisri,” 2003.</w:t>
      </w:r>
    </w:p>
    <w:p w14:paraId="000000E6">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[3] Dachlan, </w:t>
      </w:r>
      <w:r>
        <w:rPr>
          <w:rFonts w:ascii="Times New Roman" w:hAnsi="Times New Roman" w:eastAsia="Times New Roman" w:cs="Times New Roman"/>
          <w:i/>
          <w:sz w:val="22"/>
          <w:szCs w:val="22"/>
          <w:rtl w:val="0"/>
        </w:rPr>
        <w:t>Penelitian Tindakan Kelas</w:t>
      </w:r>
      <w:r>
        <w:rPr>
          <w:rFonts w:ascii="Times New Roman" w:hAnsi="Times New Roman" w:eastAsia="Times New Roman" w:cs="Times New Roman"/>
          <w:sz w:val="22"/>
          <w:szCs w:val="22"/>
          <w:rtl w:val="0"/>
        </w:rPr>
        <w:t xml:space="preserve">, </w:t>
      </w:r>
      <w:r>
        <w:rPr>
          <w:rFonts w:ascii="Times New Roman" w:hAnsi="Times New Roman" w:eastAsia="Times New Roman" w:cs="Times New Roman"/>
          <w:i/>
          <w:sz w:val="22"/>
          <w:szCs w:val="22"/>
          <w:rtl w:val="0"/>
        </w:rPr>
        <w:t>Angewandte Chemie International Edition</w:t>
      </w:r>
      <w:r>
        <w:rPr>
          <w:rFonts w:ascii="Times New Roman" w:hAnsi="Times New Roman" w:eastAsia="Times New Roman" w:cs="Times New Roman"/>
          <w:sz w:val="22"/>
          <w:szCs w:val="22"/>
          <w:rtl w:val="0"/>
        </w:rPr>
        <w:t>, vol. 6, no. 11, pp. 951–952, 2014.</w:t>
      </w:r>
    </w:p>
    <w:p w14:paraId="000000E7">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[4] A. Daniyati, I. Bulqis Saputri, S. Aqila Septiyani, dan U. D. Setiawan, “Konsep dasar media pembelajaran Ricken Wijaya STAI DR.KHEZ Muttaqien Purwakarta,” </w:t>
      </w:r>
      <w:r>
        <w:rPr>
          <w:rFonts w:ascii="Times New Roman" w:hAnsi="Times New Roman" w:eastAsia="Times New Roman" w:cs="Times New Roman"/>
          <w:i/>
          <w:sz w:val="22"/>
          <w:szCs w:val="22"/>
          <w:rtl w:val="0"/>
        </w:rPr>
        <w:t>Journal of Student Research (JSR)</w:t>
      </w:r>
      <w:r>
        <w:rPr>
          <w:rFonts w:ascii="Times New Roman" w:hAnsi="Times New Roman" w:eastAsia="Times New Roman" w:cs="Times New Roman"/>
          <w:sz w:val="22"/>
          <w:szCs w:val="22"/>
          <w:rtl w:val="0"/>
        </w:rPr>
        <w:t xml:space="preserve">, vol. 1, no. 1, 2023. </w:t>
      </w:r>
    </w:p>
    <w:p w14:paraId="000000E8">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[5] S. Diajukan, K. Fakultas, D. Tarbiyah, U. Memenuhi, dan S. Persyaratan, “Meningkatkan kreativitas anak melalui media barang bekas pakai menggunakan metode SSR,” n.d. </w:t>
      </w:r>
    </w:p>
    <w:p w14:paraId="000000E9">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[6] M. Ebbut, M. Elliot, M. K. Lewin, dan M. Kemmis, “Model PTK,” no. 1, 1946.</w:t>
      </w:r>
    </w:p>
    <w:p w14:paraId="000000EA">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[7] H. H. Hardiningsih, “Upaya meningkatkan kreativitas anak dengan memanfaatkan media barang bekas di TK Kota Bima,” </w:t>
      </w:r>
      <w:r>
        <w:rPr>
          <w:rFonts w:ascii="Times New Roman" w:hAnsi="Times New Roman" w:eastAsia="Times New Roman" w:cs="Times New Roman"/>
          <w:i/>
          <w:sz w:val="22"/>
          <w:szCs w:val="22"/>
          <w:rtl w:val="0"/>
        </w:rPr>
        <w:t>Jurnal Pendidikan dan Pemberdayaan Masyarakat</w:t>
      </w:r>
      <w:r>
        <w:rPr>
          <w:rFonts w:ascii="Times New Roman" w:hAnsi="Times New Roman" w:eastAsia="Times New Roman" w:cs="Times New Roman"/>
          <w:sz w:val="22"/>
          <w:szCs w:val="22"/>
          <w:rtl w:val="0"/>
        </w:rPr>
        <w:t>, vol. 2, no. 2, pp. 215–225, 2015. [Online]. Available:</w:t>
      </w:r>
      <w:r>
        <w:fldChar w:fldCharType="begin"/>
      </w:r>
      <w:r>
        <w:instrText xml:space="preserve"> HYPERLINK "http://journal.uny.ac.id/index.php/jppm" \h </w:instrText>
      </w:r>
      <w:r>
        <w:fldChar w:fldCharType="separate"/>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fldChar w:fldCharType="end"/>
      </w:r>
      <w:r>
        <w:fldChar w:fldCharType="begin"/>
      </w:r>
      <w:r>
        <w:instrText xml:space="preserve"> HYPERLINK "http://journal.uny.ac.id/index.php/jppm" \h </w:instrText>
      </w:r>
      <w:r>
        <w:fldChar w:fldCharType="separate"/>
      </w:r>
      <w:r>
        <w:rPr>
          <w:rFonts w:ascii="Times New Roman" w:hAnsi="Times New Roman" w:eastAsia="Times New Roman" w:cs="Times New Roman"/>
          <w:sz w:val="22"/>
          <w:szCs w:val="22"/>
          <w:rtl w:val="0"/>
        </w:rPr>
        <w:t>http://journal.uny.ac.id/index.php/jppm</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EB">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[8] D. D. dan V. F. Vidya, “Pengembangan kreativitas anak usia dini,” vol. 4, no. 2, 2016. </w:t>
      </w:r>
    </w:p>
    <w:p w14:paraId="000000EC">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[9] </w:t>
      </w:r>
      <w:r>
        <w:rPr>
          <w:rFonts w:ascii="Times New Roman" w:hAnsi="Times New Roman" w:eastAsia="Times New Roman" w:cs="Times New Roman"/>
          <w:i/>
          <w:sz w:val="22"/>
          <w:szCs w:val="22"/>
          <w:rtl w:val="0"/>
        </w:rPr>
        <w:t>Kamus Bahasa Indonesia</w:t>
      </w:r>
      <w:r>
        <w:rPr>
          <w:rFonts w:ascii="Times New Roman" w:hAnsi="Times New Roman" w:eastAsia="Times New Roman" w:cs="Times New Roman"/>
          <w:sz w:val="22"/>
          <w:szCs w:val="22"/>
          <w:rtl w:val="0"/>
        </w:rPr>
        <w:t xml:space="preserve">, n.d. </w:t>
      </w:r>
    </w:p>
    <w:p w14:paraId="000000ED">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[10] W. Kurniati dan E. Novianto, “Mengembangkan keterampilan motorik halus anak usia 5–6 tahun dengan menggunakan media kolase,” 2017. [Online]. Available:</w:t>
      </w:r>
      <w:r>
        <w:fldChar w:fldCharType="begin"/>
      </w:r>
      <w:r>
        <w:instrText xml:space="preserve"> HYPERLINK "http://journal.annur.ac.id/index.php/tarbiyahjurnal" \h </w:instrText>
      </w:r>
      <w:r>
        <w:fldChar w:fldCharType="separate"/>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fldChar w:fldCharType="end"/>
      </w:r>
      <w:r>
        <w:fldChar w:fldCharType="begin"/>
      </w:r>
      <w:r>
        <w:instrText xml:space="preserve"> HYPERLINK "http://journal.annur.ac.id/index.php/tarbiyahjurnal" \h </w:instrText>
      </w:r>
      <w:r>
        <w:fldChar w:fldCharType="separate"/>
      </w:r>
      <w:r>
        <w:rPr>
          <w:rFonts w:ascii="Times New Roman" w:hAnsi="Times New Roman" w:eastAsia="Times New Roman" w:cs="Times New Roman"/>
          <w:sz w:val="22"/>
          <w:szCs w:val="22"/>
          <w:rtl w:val="0"/>
        </w:rPr>
        <w:t>http://journal.annur.ac.id/index.php/tarbiyahjurnal</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EE">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[11] E. L. Rambe, D. Noprizal, H. A. Rahmad, R. Andani, S. Meranti, dan U. Karimun, “Meningkatkan motorik kasar anak usia dini melalui permainan tradisional (engklek) di TK Aisyiyah Bustanul Athfal Ranting Selatpanjang Timur Kecamatan Tebing Tinggi Kabupaten Kepulauan Meranti,” </w:t>
      </w:r>
      <w:r>
        <w:rPr>
          <w:rFonts w:ascii="Times New Roman" w:hAnsi="Times New Roman" w:eastAsia="Times New Roman" w:cs="Times New Roman"/>
          <w:i/>
          <w:sz w:val="22"/>
          <w:szCs w:val="22"/>
          <w:rtl w:val="0"/>
        </w:rPr>
        <w:t>Jurnal Aorta</w:t>
      </w:r>
      <w:r>
        <w:rPr>
          <w:rFonts w:ascii="Times New Roman" w:hAnsi="Times New Roman" w:eastAsia="Times New Roman" w:cs="Times New Roman"/>
          <w:sz w:val="22"/>
          <w:szCs w:val="22"/>
          <w:rtl w:val="0"/>
        </w:rPr>
        <w:t xml:space="preserve">, vol. 1, no. 1, 2023. </w:t>
      </w:r>
    </w:p>
    <w:p w14:paraId="000000EF">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[12] L. D. Afri, M. U. Hasibuan, N. D. H. Harahap, A. A. S. Harahap, S. F. Sitorus, dan D. R. K. Batubara, “Pemanfaatan barang bekas dalam meningkatkan kreativitas anak-anak Dusun 3 Desa Aman Damai,” </w:t>
      </w:r>
      <w:r>
        <w:rPr>
          <w:rFonts w:ascii="Times New Roman" w:hAnsi="Times New Roman" w:eastAsia="Times New Roman" w:cs="Times New Roman"/>
          <w:i/>
          <w:sz w:val="22"/>
          <w:szCs w:val="22"/>
          <w:rtl w:val="0"/>
        </w:rPr>
        <w:t>Nusantara Jurnal Pengabdian Kepada Masyarakat</w:t>
      </w:r>
      <w:r>
        <w:rPr>
          <w:rFonts w:ascii="Times New Roman" w:hAnsi="Times New Roman" w:eastAsia="Times New Roman" w:cs="Times New Roman"/>
          <w:sz w:val="22"/>
          <w:szCs w:val="22"/>
          <w:rtl w:val="0"/>
        </w:rPr>
        <w:t>, vol. 4, no. 2, pp. 65–70, 2024. [Online]. Available:</w:t>
      </w:r>
      <w:r>
        <w:fldChar w:fldCharType="begin"/>
      </w:r>
      <w:r>
        <w:instrText xml:space="preserve"> HYPERLINK "https://doi.org/10.55606/nusantara.v4i2.2845" \h </w:instrText>
      </w:r>
      <w:r>
        <w:fldChar w:fldCharType="separate"/>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fldChar w:fldCharType="end"/>
      </w:r>
      <w:r>
        <w:fldChar w:fldCharType="begin"/>
      </w:r>
      <w:r>
        <w:instrText xml:space="preserve"> HYPERLINK "https://doi.org/10.55606/nusantara.v4i2.2845" \h </w:instrText>
      </w:r>
      <w:r>
        <w:fldChar w:fldCharType="separate"/>
      </w:r>
      <w:r>
        <w:rPr>
          <w:rFonts w:ascii="Times New Roman" w:hAnsi="Times New Roman" w:eastAsia="Times New Roman" w:cs="Times New Roman"/>
          <w:sz w:val="22"/>
          <w:szCs w:val="22"/>
          <w:rtl w:val="0"/>
        </w:rPr>
        <w:t>https://doi.org/10.55606/nusantara.v4i2.2845</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F0">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[13] E. O. Lutfiah, N. Agestin, S. Mutmainah, dan Z. M. Trisnaini, “‘Tutup Botol Pintar’ pemanfaatan barang bekas sebagai media belajar anak,” n.d. </w:t>
      </w:r>
    </w:p>
    <w:p w14:paraId="000000F1">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[14] E. M. Nasution, S. Srikandi, dan I. Padangsidimpuan, “Konsep pengembangan kreativitas AUD,” vol. 1, no. 1, 2021. </w:t>
      </w:r>
    </w:p>
    <w:p w14:paraId="000000F2">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[15] R. Nofianti, “Upaya meningkatkan keterampilan motorik halus melalui kegiatan menggunting dengan menggunakan pola pada anak usia dini,” vol. 13, no. 1, 2020. </w:t>
      </w:r>
    </w:p>
    <w:p w14:paraId="000000F3">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[16] “Pemanfaatan media barang bekas dalam meningkatkan hasil belajar IPA siswa kelas III MI Datok Sulaiman Bagian Putra Kota Palopo,” n.d. </w:t>
      </w:r>
    </w:p>
    <w:p w14:paraId="000000F4">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[17] “Pengembangan kreativitas anak usia dini dengan media barang bekas di TK LKMD 1 Kopen Teras Boyolali,” n.d. </w:t>
      </w:r>
    </w:p>
    <w:p w14:paraId="000000F5">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[18] K. Penulis, A. Usia, dan D. Hikrawati, “Pengembangan media pembelajaran bahan bekas untuk meningkatkan kreativitas,” vol. 5, no. 2, pp. 131–139, 2022. [Online]. Available:</w:t>
      </w:r>
      <w:r>
        <w:fldChar w:fldCharType="begin"/>
      </w:r>
      <w:r>
        <w:instrText xml:space="preserve"> HYPERLINK "https://doi.org/10.36709/jspaud.v5i2.3" \h </w:instrText>
      </w:r>
      <w:r>
        <w:fldChar w:fldCharType="separate"/>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fldChar w:fldCharType="end"/>
      </w:r>
      <w:r>
        <w:fldChar w:fldCharType="begin"/>
      </w:r>
      <w:r>
        <w:instrText xml:space="preserve"> HYPERLINK "https://doi.org/10.36709/jspaud.v5i2.3" \h </w:instrText>
      </w:r>
      <w:r>
        <w:fldChar w:fldCharType="separate"/>
      </w:r>
      <w:r>
        <w:rPr>
          <w:rFonts w:ascii="Times New Roman" w:hAnsi="Times New Roman" w:eastAsia="Times New Roman" w:cs="Times New Roman"/>
          <w:sz w:val="22"/>
          <w:szCs w:val="22"/>
          <w:rtl w:val="0"/>
        </w:rPr>
        <w:t>https://doi.org/10.36709/jspaud.v5i2.3</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F6">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[19] T. Penulis, H. K. Rahmawati, S. Wahyuni Djoko, N. D. M. S. Diwyarthi, W. Aldryani, D. Ervina, D. Oktariana, E. Octrianty, L. Kurniasari, R. A. Fatsena, L. O. Manalu, I. Kholis, dan H. Undang-Undang, </w:t>
      </w:r>
      <w:r>
        <w:rPr>
          <w:rFonts w:ascii="Times New Roman" w:hAnsi="Times New Roman" w:eastAsia="Times New Roman" w:cs="Times New Roman"/>
          <w:i/>
          <w:sz w:val="22"/>
          <w:szCs w:val="22"/>
          <w:rtl w:val="0"/>
        </w:rPr>
        <w:t>Psikologi Perkembangan</w:t>
      </w:r>
      <w:r>
        <w:rPr>
          <w:rFonts w:ascii="Times New Roman" w:hAnsi="Times New Roman" w:eastAsia="Times New Roman" w:cs="Times New Roman"/>
          <w:sz w:val="22"/>
          <w:szCs w:val="22"/>
          <w:rtl w:val="0"/>
        </w:rPr>
        <w:t>. [Online]. Available:</w:t>
      </w:r>
      <w:r>
        <w:fldChar w:fldCharType="begin"/>
      </w:r>
      <w:r>
        <w:instrText xml:space="preserve"> HYPERLINK "http://www.penerbitwidina.com" \h </w:instrText>
      </w:r>
      <w:r>
        <w:fldChar w:fldCharType="separate"/>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fldChar w:fldCharType="end"/>
      </w:r>
      <w:r>
        <w:fldChar w:fldCharType="begin"/>
      </w:r>
      <w:r>
        <w:instrText xml:space="preserve"> HYPERLINK "http://www.penerbitwidina.com" \h </w:instrText>
      </w:r>
      <w:r>
        <w:fldChar w:fldCharType="separate"/>
      </w:r>
      <w:r>
        <w:rPr>
          <w:rFonts w:ascii="Times New Roman" w:hAnsi="Times New Roman" w:eastAsia="Times New Roman" w:cs="Times New Roman"/>
          <w:sz w:val="22"/>
          <w:szCs w:val="22"/>
          <w:rtl w:val="0"/>
        </w:rPr>
        <w:t>www.penerbitwidina.com</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F7">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[20] </w:t>
      </w:r>
      <w:r>
        <w:rPr>
          <w:rFonts w:ascii="Times New Roman" w:hAnsi="Times New Roman" w:eastAsia="Times New Roman" w:cs="Times New Roman"/>
          <w:i/>
          <w:sz w:val="22"/>
          <w:szCs w:val="22"/>
          <w:rtl w:val="0"/>
        </w:rPr>
        <w:t>Permendikbud 137 Tahun 2014 Tentang Standar Nasional Pendidikan Anak Usia Dini</w:t>
      </w:r>
      <w:r>
        <w:rPr>
          <w:rFonts w:ascii="Times New Roman" w:hAnsi="Times New Roman" w:eastAsia="Times New Roman" w:cs="Times New Roman"/>
          <w:sz w:val="22"/>
          <w:szCs w:val="22"/>
          <w:rtl w:val="0"/>
        </w:rPr>
        <w:t xml:space="preserve">, pp. 21–31, 2014. </w:t>
      </w:r>
    </w:p>
    <w:p w14:paraId="000000F8">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[21] M. A. Ramli, “Pengembangan media pembelajaran menurut konsep teknologi pembelajaran,” 2019. </w:t>
      </w:r>
    </w:p>
    <w:p w14:paraId="000000F9">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[22] J. W. Santrock, </w:t>
      </w:r>
      <w:r>
        <w:rPr>
          <w:rFonts w:ascii="Times New Roman" w:hAnsi="Times New Roman" w:eastAsia="Times New Roman" w:cs="Times New Roman"/>
          <w:i/>
          <w:sz w:val="22"/>
          <w:szCs w:val="22"/>
          <w:rtl w:val="0"/>
        </w:rPr>
        <w:t>Children</w:t>
      </w:r>
      <w:r>
        <w:rPr>
          <w:rFonts w:ascii="Times New Roman" w:hAnsi="Times New Roman" w:eastAsia="Times New Roman" w:cs="Times New Roman"/>
          <w:sz w:val="22"/>
          <w:szCs w:val="22"/>
          <w:rtl w:val="0"/>
        </w:rPr>
        <w:t xml:space="preserve">. New York: McGraw-Hill Education, 2019. </w:t>
      </w:r>
    </w:p>
    <w:p w14:paraId="000000FA">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[23] Sugiono, </w:t>
      </w:r>
      <w:r>
        <w:rPr>
          <w:rFonts w:ascii="Times New Roman" w:hAnsi="Times New Roman" w:eastAsia="Times New Roman" w:cs="Times New Roman"/>
          <w:i/>
          <w:sz w:val="22"/>
          <w:szCs w:val="22"/>
          <w:rtl w:val="0"/>
        </w:rPr>
        <w:t>Metode Penelitian Kuantitatif Kualitatif dan R&amp;D</w:t>
      </w:r>
      <w:r>
        <w:rPr>
          <w:rFonts w:ascii="Times New Roman" w:hAnsi="Times New Roman" w:eastAsia="Times New Roman" w:cs="Times New Roman"/>
          <w:sz w:val="22"/>
          <w:szCs w:val="22"/>
          <w:rtl w:val="0"/>
        </w:rPr>
        <w:t xml:space="preserve">. Bandung: Alfabeta, 2014. </w:t>
      </w:r>
    </w:p>
    <w:p w14:paraId="000000FB">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[24] Sugiono, </w:t>
      </w:r>
      <w:r>
        <w:rPr>
          <w:rFonts w:ascii="Times New Roman" w:hAnsi="Times New Roman" w:eastAsia="Times New Roman" w:cs="Times New Roman"/>
          <w:i/>
          <w:sz w:val="22"/>
          <w:szCs w:val="22"/>
          <w:rtl w:val="0"/>
        </w:rPr>
        <w:t>Metode Penelitian Kualitatif</w:t>
      </w:r>
      <w:r>
        <w:rPr>
          <w:rFonts w:ascii="Times New Roman" w:hAnsi="Times New Roman" w:eastAsia="Times New Roman" w:cs="Times New Roman"/>
          <w:sz w:val="22"/>
          <w:szCs w:val="22"/>
          <w:rtl w:val="0"/>
        </w:rPr>
        <w:t xml:space="preserve">, vol. 17, p. 43, 2015. [Online]. Available: </w:t>
      </w:r>
      <w:r>
        <w:fldChar w:fldCharType="begin"/>
      </w:r>
      <w:r>
        <w:instrText xml:space="preserve"> HYPERLINK "http://repository.unpas.ac.id/30547/5/BAB%20III.pdf" \h </w:instrText>
      </w:r>
      <w:r>
        <w:fldChar w:fldCharType="separate"/>
      </w:r>
      <w:r>
        <w:rPr>
          <w:rFonts w:ascii="Times New Roman" w:hAnsi="Times New Roman" w:eastAsia="Times New Roman" w:cs="Times New Roman"/>
          <w:sz w:val="22"/>
          <w:szCs w:val="22"/>
          <w:rtl w:val="0"/>
        </w:rPr>
        <w:t>http://repository.unpas.ac.id/30547/5/BAB%20III.pdf</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FC">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[25] S. H. Susanto, S. D. Ramadani, A. C. R. Sihite, dan Q. N. Rahmawati, “Botol Toga (BOGA) sebagai pemanfaatan barang bekas untuk meningkatkan pemahaman anak dalam menjaga lingkungan,” </w:t>
      </w:r>
      <w:r>
        <w:rPr>
          <w:rFonts w:ascii="Times New Roman" w:hAnsi="Times New Roman" w:eastAsia="Times New Roman" w:cs="Times New Roman"/>
          <w:i/>
          <w:sz w:val="22"/>
          <w:szCs w:val="22"/>
          <w:rtl w:val="0"/>
        </w:rPr>
        <w:t>Jurnal Pengabdian Kepada Masyarakat Nusantara</w:t>
      </w:r>
      <w:r>
        <w:rPr>
          <w:rFonts w:ascii="Times New Roman" w:hAnsi="Times New Roman" w:eastAsia="Times New Roman" w:cs="Times New Roman"/>
          <w:sz w:val="22"/>
          <w:szCs w:val="22"/>
          <w:rtl w:val="0"/>
        </w:rPr>
        <w:t>, vol. 5, no. 1, pp. 531–537, 2024. [Online]. Available:</w:t>
      </w:r>
      <w:r>
        <w:fldChar w:fldCharType="begin"/>
      </w:r>
      <w:r>
        <w:instrText xml:space="preserve"> HYPERLINK "https://doi.org/10.55338/jpkmn.v5i1.2455" \h </w:instrText>
      </w:r>
      <w:r>
        <w:fldChar w:fldCharType="separate"/>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fldChar w:fldCharType="end"/>
      </w:r>
      <w:r>
        <w:fldChar w:fldCharType="begin"/>
      </w:r>
      <w:r>
        <w:instrText xml:space="preserve"> HYPERLINK "https://doi.org/10.55338/jpkmn.v5i1.2455" \h </w:instrText>
      </w:r>
      <w:r>
        <w:fldChar w:fldCharType="separate"/>
      </w:r>
      <w:r>
        <w:rPr>
          <w:rFonts w:ascii="Times New Roman" w:hAnsi="Times New Roman" w:eastAsia="Times New Roman" w:cs="Times New Roman"/>
          <w:sz w:val="22"/>
          <w:szCs w:val="22"/>
          <w:rtl w:val="0"/>
        </w:rPr>
        <w:t>https://doi.org/10.55338/jpkmn.v5i1.2455</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FD">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[26] “Upaya meningkatkan motorik halus melalui permainan menjiplak menjadi gambar usia 5–6 tahun di TKQ An-Nur,” n.d.</w:t>
      </w:r>
    </w:p>
    <w:p w14:paraId="000000FE">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[27] W. Winata, D. Fitriawaty, W. Hasanah, dan D. Octavianti, “Alat permainan edukatif dari barang bekas,” </w:t>
      </w:r>
      <w:r>
        <w:rPr>
          <w:rFonts w:ascii="Times New Roman" w:hAnsi="Times New Roman" w:eastAsia="Times New Roman" w:cs="Times New Roman"/>
          <w:i/>
          <w:sz w:val="22"/>
          <w:szCs w:val="22"/>
          <w:rtl w:val="0"/>
        </w:rPr>
        <w:t>Prosiding Seminar Nasional Pengabdian Masyarakat LPPM UMJ</w:t>
      </w:r>
      <w:r>
        <w:rPr>
          <w:rFonts w:ascii="Times New Roman" w:hAnsi="Times New Roman" w:eastAsia="Times New Roman" w:cs="Times New Roman"/>
          <w:sz w:val="22"/>
          <w:szCs w:val="22"/>
          <w:rtl w:val="0"/>
        </w:rPr>
        <w:t>. [Online]. Available:</w:t>
      </w:r>
      <w:r>
        <w:fldChar w:fldCharType="begin"/>
      </w:r>
      <w:r>
        <w:instrText xml:space="preserve"> HYPERLINK "http://jurnal.umj.ac.id/index.php/semnaskat" \h </w:instrText>
      </w:r>
      <w:r>
        <w:fldChar w:fldCharType="separate"/>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fldChar w:fldCharType="end"/>
      </w:r>
      <w:r>
        <w:fldChar w:fldCharType="begin"/>
      </w:r>
      <w:r>
        <w:instrText xml:space="preserve"> HYPERLINK "http://jurnal.umj.ac.id/index.php/semnaskat" \h </w:instrText>
      </w:r>
      <w:r>
        <w:fldChar w:fldCharType="separate"/>
      </w:r>
      <w:r>
        <w:rPr>
          <w:rFonts w:ascii="Times New Roman" w:hAnsi="Times New Roman" w:eastAsia="Times New Roman" w:cs="Times New Roman"/>
          <w:sz w:val="22"/>
          <w:szCs w:val="22"/>
          <w:rtl w:val="0"/>
        </w:rPr>
        <w:t>http://jurnal.umj.ac.id/index.php/semnaskat</w:t>
      </w:r>
      <w:r>
        <w:rPr>
          <w:rFonts w:ascii="Times New Roman" w:hAnsi="Times New Roman" w:eastAsia="Times New Roman" w:cs="Times New Roman"/>
          <w:sz w:val="22"/>
          <w:szCs w:val="22"/>
          <w:rtl w:val="0"/>
        </w:rPr>
        <w:fldChar w:fldCharType="end"/>
      </w:r>
      <w:r>
        <w:rPr>
          <w:rFonts w:ascii="Times New Roman" w:hAnsi="Times New Roman" w:eastAsia="Times New Roman" w:cs="Times New Roman"/>
          <w:sz w:val="22"/>
          <w:szCs w:val="22"/>
          <w:rtl w:val="0"/>
        </w:rPr>
        <w:t xml:space="preserve"> </w:t>
      </w:r>
    </w:p>
    <w:p w14:paraId="000000FF">
      <w:pPr>
        <w:spacing w:before="0" w:after="200" w:line="240" w:lineRule="auto"/>
        <w:ind w:left="425" w:hanging="420"/>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[28] R. Yuni, D. H. Hayati, dan L. Amelia, “Pengembangan media kreatif barang bekas untuk melatih kreativitas anak kelompok B di TK Cut Meutia Banda Aceh,” </w:t>
      </w:r>
      <w:r>
        <w:rPr>
          <w:rFonts w:ascii="Times New Roman" w:hAnsi="Times New Roman" w:eastAsia="Times New Roman" w:cs="Times New Roman"/>
          <w:i/>
          <w:sz w:val="22"/>
          <w:szCs w:val="22"/>
          <w:rtl w:val="0"/>
        </w:rPr>
        <w:t>Jurnal Ilmiah Mahasiswa Pendidikan</w:t>
      </w:r>
      <w:r>
        <w:rPr>
          <w:rFonts w:ascii="Times New Roman" w:hAnsi="Times New Roman" w:eastAsia="Times New Roman" w:cs="Times New Roman"/>
          <w:sz w:val="22"/>
          <w:szCs w:val="22"/>
          <w:rtl w:val="0"/>
        </w:rPr>
        <w:t>, vol. 1, no. 1, 2020.</w:t>
      </w:r>
    </w:p>
    <w:p w14:paraId="00000100">
      <w:pPr>
        <w:spacing w:after="0" w:line="360" w:lineRule="auto"/>
        <w:jc w:val="left"/>
        <w:rPr>
          <w:rFonts w:ascii="Times New Roman" w:hAnsi="Times New Roman" w:eastAsia="Times New Roman" w:cs="Times New Roman"/>
          <w:sz w:val="22"/>
          <w:szCs w:val="22"/>
        </w:rPr>
      </w:pPr>
    </w:p>
    <w:sectPr>
      <w:headerReference r:id="rId5" w:type="default"/>
      <w:pgSz w:w="11906" w:h="16838"/>
      <w:pgMar w:top="2268" w:right="1701" w:bottom="1701" w:left="2267"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等线">
    <w:altName w:val="Microsoft YaHei"/>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59" w:lineRule="auto"/>
      </w:pPr>
      <w:r>
        <w:separator/>
      </w:r>
    </w:p>
  </w:footnote>
  <w:footnote w:type="continuationSeparator" w:id="19">
    <w:p>
      <w:pPr>
        <w:spacing w:before="0" w:after="0" w:line="259" w:lineRule="auto"/>
      </w:pPr>
      <w:r>
        <w:continuationSeparator/>
      </w:r>
    </w:p>
  </w:footnote>
  <w:footnote w:id="0">
    <w:p w14:paraId="00000101">
      <w:pPr>
        <w:spacing w:after="0" w:line="240" w:lineRule="auto"/>
        <w:ind w:left="466" w:right="1" w:hanging="481"/>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Daniyati STAI DRKHEZ Muttaqien Purwakarta, A., Bulqis Saputri STAI DRKHEZ Muttaqien Purwakarta, I., Aqila Septiyani STAI DRKHEZ Muttaqien Purwakarta, S., &amp; Setiawan STAI KHEZ Muttaqien Purwakarta, U. D. (2023). Konsep Dasar Media Pembelajaran Ricken Wijaya STAI DR.KHEZ Muttaqien Purwakarta. In </w:t>
      </w:r>
      <w:r>
        <w:rPr>
          <w:rFonts w:ascii="Times New Roman" w:hAnsi="Times New Roman" w:eastAsia="Times New Roman" w:cs="Times New Roman"/>
          <w:i/>
          <w:sz w:val="20"/>
          <w:szCs w:val="20"/>
          <w:rtl w:val="0"/>
        </w:rPr>
        <w:t>Journal Of Student Research (JSR)</w:t>
      </w:r>
      <w:r>
        <w:rPr>
          <w:rFonts w:ascii="Times New Roman" w:hAnsi="Times New Roman" w:eastAsia="Times New Roman" w:cs="Times New Roman"/>
          <w:sz w:val="20"/>
          <w:szCs w:val="20"/>
          <w:rtl w:val="0"/>
        </w:rPr>
        <w:t xml:space="preserve"> (Vol. 1, Issue 1). </w:t>
      </w:r>
    </w:p>
  </w:footnote>
  <w:footnote w:id="1">
    <w:p w14:paraId="00000102">
      <w:pPr>
        <w:spacing w:after="0" w:line="240" w:lineRule="auto"/>
        <w:ind w:left="720" w:right="180" w:hanging="720"/>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sz w:val="20"/>
          <w:szCs w:val="20"/>
          <w:rtl w:val="0"/>
        </w:rPr>
        <w:t>Permendikbud 137 Tahun 2014. Tentang Standar Nasional Usia Dini</w:t>
      </w:r>
      <w:r>
        <w:rPr>
          <w:rFonts w:ascii="Times New Roman" w:hAnsi="Times New Roman" w:eastAsia="Times New Roman" w:cs="Times New Roman"/>
          <w:sz w:val="20"/>
          <w:szCs w:val="20"/>
          <w:rtl w:val="0"/>
        </w:rPr>
        <w:t xml:space="preserve"> (pp. 21–31). (2014). </w:t>
      </w:r>
    </w:p>
  </w:footnote>
  <w:footnote w:id="2">
    <w:p w14:paraId="00000103">
      <w:pPr>
        <w:spacing w:after="0" w:line="240" w:lineRule="auto"/>
        <w:ind w:left="476" w:right="180" w:hanging="491"/>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Nofianti, R. (2020). </w:t>
      </w:r>
      <w:r>
        <w:rPr>
          <w:rFonts w:ascii="Times New Roman" w:hAnsi="Times New Roman" w:eastAsia="Times New Roman" w:cs="Times New Roman"/>
          <w:i/>
          <w:sz w:val="20"/>
          <w:szCs w:val="20"/>
          <w:rtl w:val="0"/>
        </w:rPr>
        <w:t>Upaya Meningkatkan Keterampilan Motorik Halus Melalui Kegiatan Menggunting Dengan Menggunakan Pola Pada Anak Usia Dini</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sz w:val="20"/>
          <w:szCs w:val="20"/>
          <w:rtl w:val="0"/>
        </w:rPr>
        <w:t>13</w:t>
      </w:r>
      <w:r>
        <w:rPr>
          <w:rFonts w:ascii="Times New Roman" w:hAnsi="Times New Roman" w:eastAsia="Times New Roman" w:cs="Times New Roman"/>
          <w:sz w:val="20"/>
          <w:szCs w:val="20"/>
          <w:rtl w:val="0"/>
        </w:rPr>
        <w:t xml:space="preserve">(1). </w:t>
      </w:r>
    </w:p>
  </w:footnote>
  <w:footnote w:id="3">
    <w:p w14:paraId="00000104">
      <w:pPr>
        <w:spacing w:after="0" w:line="240" w:lineRule="auto"/>
        <w:ind w:left="-5" w:right="1" w:firstLine="0"/>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Santrock, J. W. . (2019). </w:t>
      </w:r>
      <w:r>
        <w:rPr>
          <w:rFonts w:ascii="Times New Roman" w:hAnsi="Times New Roman" w:eastAsia="Times New Roman" w:cs="Times New Roman"/>
          <w:i/>
          <w:sz w:val="20"/>
          <w:szCs w:val="20"/>
          <w:rtl w:val="0"/>
        </w:rPr>
        <w:t>Children</w:t>
      </w:r>
      <w:r>
        <w:rPr>
          <w:rFonts w:ascii="Times New Roman" w:hAnsi="Times New Roman" w:eastAsia="Times New Roman" w:cs="Times New Roman"/>
          <w:sz w:val="20"/>
          <w:szCs w:val="20"/>
          <w:rtl w:val="0"/>
        </w:rPr>
        <w:t xml:space="preserve">. McGraw-Hill Education. </w:t>
      </w:r>
    </w:p>
    <w:p w14:paraId="000001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Arial" w:hAnsi="Arial" w:eastAsia="Arial" w:cs="Arial"/>
          <w:b w:val="0"/>
          <w:i w:val="0"/>
          <w:smallCaps w:val="0"/>
          <w:strike w:val="0"/>
          <w:color w:val="000000"/>
          <w:sz w:val="20"/>
          <w:szCs w:val="20"/>
          <w:u w:val="none"/>
          <w:shd w:val="clear" w:fill="auto"/>
          <w:vertAlign w:val="baseline"/>
        </w:rPr>
      </w:pPr>
    </w:p>
  </w:footnote>
  <w:footnote w:id="4">
    <w:p w14:paraId="00000106">
      <w:pPr>
        <w:spacing w:after="0" w:line="240" w:lineRule="auto"/>
        <w:ind w:left="476" w:right="180" w:hanging="491"/>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kurniati, W., &amp; Novianto, E. (2017). </w:t>
      </w:r>
      <w:r>
        <w:rPr>
          <w:rFonts w:ascii="Times New Roman" w:hAnsi="Times New Roman" w:eastAsia="Times New Roman" w:cs="Times New Roman"/>
          <w:i/>
          <w:sz w:val="20"/>
          <w:szCs w:val="20"/>
          <w:rtl w:val="0"/>
        </w:rPr>
        <w:t>Mengembangkan Keterampilan Motorik Halus Anak Usia 5-6 tahun Dengan Menggunakan Media Kolase</w:t>
      </w:r>
      <w:r>
        <w:rPr>
          <w:rFonts w:ascii="Times New Roman" w:hAnsi="Times New Roman" w:eastAsia="Times New Roman" w:cs="Times New Roman"/>
          <w:sz w:val="20"/>
          <w:szCs w:val="20"/>
          <w:rtl w:val="0"/>
        </w:rPr>
        <w:t xml:space="preserve">. http://journal.annur.ac.id/index.php/tarbiyahjurnal </w:t>
      </w:r>
    </w:p>
  </w:footnote>
  <w:footnote w:id="5">
    <w:p w14:paraId="00000107">
      <w:pPr>
        <w:spacing w:after="0" w:line="240" w:lineRule="auto"/>
        <w:ind w:left="466" w:right="195" w:hanging="481"/>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Lestari Rambe, E., Noprizal, D., Adi Rahmad, H., Andani, R., Meranti, S., &amp; Karimun, U. (2023). Meningkatkan Motorik Kasar Anak Usia Dini Melalui Permainan Tradisional (Engklek) Di Tk Aisyiyah Bustanul Athfal Ranting Selatpanjang Timur Kecamatan Tebing Tinggi Kabupaten Kepulauan Meranti. In </w:t>
      </w:r>
      <w:r>
        <w:rPr>
          <w:rFonts w:ascii="Times New Roman" w:hAnsi="Times New Roman" w:eastAsia="Times New Roman" w:cs="Times New Roman"/>
          <w:i/>
          <w:sz w:val="20"/>
          <w:szCs w:val="20"/>
          <w:rtl w:val="0"/>
        </w:rPr>
        <w:t>Jurnal Aorta</w:t>
      </w:r>
      <w:r>
        <w:rPr>
          <w:rFonts w:ascii="Times New Roman" w:hAnsi="Times New Roman" w:eastAsia="Times New Roman" w:cs="Times New Roman"/>
          <w:sz w:val="20"/>
          <w:szCs w:val="20"/>
          <w:rtl w:val="0"/>
        </w:rPr>
        <w:t xml:space="preserve"> (Vol. 01, Issue 01). </w:t>
      </w:r>
    </w:p>
  </w:footnote>
  <w:footnote w:id="6">
    <w:p w14:paraId="00000108">
      <w:pPr>
        <w:spacing w:after="0" w:line="240" w:lineRule="auto"/>
        <w:ind w:left="-5" w:right="1" w:firstLine="0"/>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Santrock, J. W. . (2019). </w:t>
      </w:r>
      <w:r>
        <w:rPr>
          <w:rFonts w:ascii="Times New Roman" w:hAnsi="Times New Roman" w:eastAsia="Times New Roman" w:cs="Times New Roman"/>
          <w:i/>
          <w:sz w:val="20"/>
          <w:szCs w:val="20"/>
          <w:rtl w:val="0"/>
        </w:rPr>
        <w:t>Children</w:t>
      </w:r>
      <w:r>
        <w:rPr>
          <w:rFonts w:ascii="Times New Roman" w:hAnsi="Times New Roman" w:eastAsia="Times New Roman" w:cs="Times New Roman"/>
          <w:sz w:val="20"/>
          <w:szCs w:val="20"/>
          <w:rtl w:val="0"/>
        </w:rPr>
        <w:t xml:space="preserve">. McGraw-Hill Education. </w:t>
      </w:r>
    </w:p>
  </w:footnote>
  <w:footnote w:id="7">
    <w:p w14:paraId="00000109">
      <w:pPr>
        <w:spacing w:after="0" w:line="240" w:lineRule="auto"/>
        <w:ind w:left="-5" w:right="1" w:firstLine="0"/>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Santrock, J. W. . (2019). </w:t>
      </w:r>
      <w:r>
        <w:rPr>
          <w:rFonts w:ascii="Times New Roman" w:hAnsi="Times New Roman" w:eastAsia="Times New Roman" w:cs="Times New Roman"/>
          <w:i/>
          <w:sz w:val="20"/>
          <w:szCs w:val="20"/>
          <w:rtl w:val="0"/>
        </w:rPr>
        <w:t>Children</w:t>
      </w:r>
      <w:r>
        <w:rPr>
          <w:rFonts w:ascii="Times New Roman" w:hAnsi="Times New Roman" w:eastAsia="Times New Roman" w:cs="Times New Roman"/>
          <w:sz w:val="20"/>
          <w:szCs w:val="20"/>
          <w:rtl w:val="0"/>
        </w:rPr>
        <w:t>. McGraw-Hill Education.</w:t>
      </w:r>
    </w:p>
  </w:footnote>
  <w:footnote w:id="8">
    <w:p w14:paraId="0000010A">
      <w:pPr>
        <w:spacing w:after="0" w:line="240" w:lineRule="auto"/>
        <w:ind w:left="466" w:right="1" w:hanging="481"/>
        <w:rPr>
          <w:rFonts w:ascii="Times New Roman" w:hAnsi="Times New Roman" w:eastAsia="Times New Roman" w:cs="Times New Roman"/>
          <w:sz w:val="20"/>
          <w:szCs w:val="20"/>
        </w:rPr>
      </w:pPr>
      <w:r>
        <w:rPr>
          <w:rStyle w:val="14"/>
          <w:vertAlign w:val="superscript"/>
        </w:rPr>
        <w:footnoteRef/>
      </w:r>
      <w:r>
        <w:rPr>
          <w:rFonts w:ascii="Times New Roman" w:hAnsi="Times New Roman" w:eastAsia="Times New Roman" w:cs="Times New Roman"/>
          <w:sz w:val="20"/>
          <w:szCs w:val="20"/>
          <w:rtl w:val="0"/>
        </w:rPr>
        <w:t xml:space="preserve"> Hardiningsih Hanafi, S. (2015). Upaya Meningkatkan Kreativitas Anak Dengan Memanfaatkan Media Barang Bekas Di Tk Kota Bima. </w:t>
      </w:r>
      <w:r>
        <w:rPr>
          <w:rFonts w:ascii="Times New Roman" w:hAnsi="Times New Roman" w:eastAsia="Times New Roman" w:cs="Times New Roman"/>
          <w:i/>
          <w:sz w:val="20"/>
          <w:szCs w:val="20"/>
          <w:rtl w:val="0"/>
        </w:rPr>
        <w:t xml:space="preserve">Jurnal Pendidikan Dan Pemberdayaan </w:t>
      </w:r>
      <w:r>
        <w:rPr>
          <w:rFonts w:ascii="Times New Roman" w:hAnsi="Times New Roman" w:eastAsia="Times New Roman" w:cs="Times New Roman"/>
          <w:i/>
          <w:sz w:val="20"/>
          <w:szCs w:val="20"/>
          <w:rtl w:val="0"/>
        </w:rPr>
        <w:tab/>
      </w:r>
      <w:r>
        <w:rPr>
          <w:rFonts w:ascii="Times New Roman" w:hAnsi="Times New Roman" w:eastAsia="Times New Roman" w:cs="Times New Roman"/>
          <w:i/>
          <w:sz w:val="20"/>
          <w:szCs w:val="20"/>
          <w:rtl w:val="0"/>
        </w:rPr>
        <w:t>Masyarakat</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rPr>
        <w:tab/>
      </w:r>
      <w:r>
        <w:rPr>
          <w:rFonts w:ascii="Times New Roman" w:hAnsi="Times New Roman" w:eastAsia="Times New Roman" w:cs="Times New Roman"/>
          <w:i/>
          <w:sz w:val="20"/>
          <w:szCs w:val="20"/>
          <w:rtl w:val="0"/>
        </w:rPr>
        <w:t>2</w:t>
      </w:r>
      <w:r>
        <w:rPr>
          <w:rFonts w:ascii="Times New Roman" w:hAnsi="Times New Roman" w:eastAsia="Times New Roman" w:cs="Times New Roman"/>
          <w:sz w:val="20"/>
          <w:szCs w:val="20"/>
          <w:rtl w:val="0"/>
        </w:rPr>
        <w:t xml:space="preserve">(2), </w:t>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 xml:space="preserve">215–225. Http://Journal.Uny.Ac.Id/Index.Php/Jppm </w:t>
      </w:r>
    </w:p>
    <w:p w14:paraId="000001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Arial" w:hAnsi="Arial" w:eastAsia="Arial" w:cs="Arial"/>
          <w:b w:val="0"/>
          <w:i w:val="0"/>
          <w:smallCaps w:val="0"/>
          <w:strike w:val="0"/>
          <w:color w:val="000000"/>
          <w:sz w:val="20"/>
          <w:szCs w:val="20"/>
          <w:u w:val="none"/>
          <w:shd w:val="clear" w:fill="auto"/>
          <w:vertAlign w:val="baseli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both"/>
      <w:rPr>
        <w:rFonts w:ascii="Arial" w:hAnsi="Arial" w:eastAsia="Arial" w:cs="Arial"/>
        <w:b w:val="0"/>
        <w:i w:val="0"/>
        <w:smallCaps w:val="0"/>
        <w:strike w:val="0"/>
        <w:color w:val="000000"/>
        <w:sz w:val="24"/>
        <w:szCs w:val="24"/>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decimal"/>
      <w:lvlText w:val="%1."/>
      <w:lvlJc w:val="left"/>
      <w:pPr>
        <w:ind w:left="1088" w:hanging="1088"/>
      </w:pPr>
      <w:rPr>
        <w:rFonts w:ascii="Times New Roman" w:hAnsi="Times New Roman" w:eastAsia="Times New Roman" w:cs="Times New Roman"/>
        <w:b w:val="0"/>
        <w:i w:val="0"/>
        <w:strike w:val="0"/>
        <w:color w:val="000000"/>
        <w:sz w:val="24"/>
        <w:szCs w:val="24"/>
        <w:u w:val="none"/>
        <w:shd w:val="clear" w:fill="auto"/>
        <w:vertAlign w:val="baseline"/>
      </w:rPr>
    </w:lvl>
    <w:lvl w:ilvl="1" w:tentative="0">
      <w:start w:val="1"/>
      <w:numFmt w:val="lowerLetter"/>
      <w:lvlText w:val="%2"/>
      <w:lvlJc w:val="left"/>
      <w:pPr>
        <w:ind w:left="1294" w:hanging="1294"/>
      </w:pPr>
      <w:rPr>
        <w:rFonts w:ascii="Times New Roman" w:hAnsi="Times New Roman" w:eastAsia="Times New Roman" w:cs="Times New Roman"/>
        <w:b w:val="0"/>
        <w:i w:val="0"/>
        <w:strike w:val="0"/>
        <w:color w:val="000000"/>
        <w:sz w:val="24"/>
        <w:szCs w:val="24"/>
        <w:u w:val="none"/>
        <w:shd w:val="clear" w:fill="auto"/>
        <w:vertAlign w:val="baseline"/>
      </w:rPr>
    </w:lvl>
    <w:lvl w:ilvl="2" w:tentative="0">
      <w:start w:val="1"/>
      <w:numFmt w:val="lowerRoman"/>
      <w:lvlText w:val="%3"/>
      <w:lvlJc w:val="left"/>
      <w:pPr>
        <w:ind w:left="2014" w:hanging="2014"/>
      </w:pPr>
      <w:rPr>
        <w:rFonts w:ascii="Times New Roman" w:hAnsi="Times New Roman" w:eastAsia="Times New Roman" w:cs="Times New Roman"/>
        <w:b w:val="0"/>
        <w:i w:val="0"/>
        <w:strike w:val="0"/>
        <w:color w:val="000000"/>
        <w:sz w:val="24"/>
        <w:szCs w:val="24"/>
        <w:u w:val="none"/>
        <w:shd w:val="clear" w:fill="auto"/>
        <w:vertAlign w:val="baseline"/>
      </w:rPr>
    </w:lvl>
    <w:lvl w:ilvl="3" w:tentative="0">
      <w:start w:val="1"/>
      <w:numFmt w:val="decimal"/>
      <w:lvlText w:val="%4"/>
      <w:lvlJc w:val="left"/>
      <w:pPr>
        <w:ind w:left="2734" w:hanging="2734"/>
      </w:pPr>
      <w:rPr>
        <w:rFonts w:ascii="Times New Roman" w:hAnsi="Times New Roman" w:eastAsia="Times New Roman" w:cs="Times New Roman"/>
        <w:b w:val="0"/>
        <w:i w:val="0"/>
        <w:strike w:val="0"/>
        <w:color w:val="000000"/>
        <w:sz w:val="24"/>
        <w:szCs w:val="24"/>
        <w:u w:val="none"/>
        <w:shd w:val="clear" w:fill="auto"/>
        <w:vertAlign w:val="baseline"/>
      </w:rPr>
    </w:lvl>
    <w:lvl w:ilvl="4" w:tentative="0">
      <w:start w:val="1"/>
      <w:numFmt w:val="lowerLetter"/>
      <w:lvlText w:val="%5"/>
      <w:lvlJc w:val="left"/>
      <w:pPr>
        <w:ind w:left="3454" w:hanging="3454"/>
      </w:pPr>
      <w:rPr>
        <w:rFonts w:ascii="Times New Roman" w:hAnsi="Times New Roman" w:eastAsia="Times New Roman" w:cs="Times New Roman"/>
        <w:b w:val="0"/>
        <w:i w:val="0"/>
        <w:strike w:val="0"/>
        <w:color w:val="000000"/>
        <w:sz w:val="24"/>
        <w:szCs w:val="24"/>
        <w:u w:val="none"/>
        <w:shd w:val="clear" w:fill="auto"/>
        <w:vertAlign w:val="baseline"/>
      </w:rPr>
    </w:lvl>
    <w:lvl w:ilvl="5" w:tentative="0">
      <w:start w:val="1"/>
      <w:numFmt w:val="lowerRoman"/>
      <w:lvlText w:val="%6"/>
      <w:lvlJc w:val="left"/>
      <w:pPr>
        <w:ind w:left="4174" w:hanging="4174"/>
      </w:pPr>
      <w:rPr>
        <w:rFonts w:ascii="Times New Roman" w:hAnsi="Times New Roman" w:eastAsia="Times New Roman" w:cs="Times New Roman"/>
        <w:b w:val="0"/>
        <w:i w:val="0"/>
        <w:strike w:val="0"/>
        <w:color w:val="000000"/>
        <w:sz w:val="24"/>
        <w:szCs w:val="24"/>
        <w:u w:val="none"/>
        <w:shd w:val="clear" w:fill="auto"/>
        <w:vertAlign w:val="baseline"/>
      </w:rPr>
    </w:lvl>
    <w:lvl w:ilvl="6" w:tentative="0">
      <w:start w:val="1"/>
      <w:numFmt w:val="decimal"/>
      <w:lvlText w:val="%7"/>
      <w:lvlJc w:val="left"/>
      <w:pPr>
        <w:ind w:left="4894" w:hanging="4894"/>
      </w:pPr>
      <w:rPr>
        <w:rFonts w:ascii="Times New Roman" w:hAnsi="Times New Roman" w:eastAsia="Times New Roman" w:cs="Times New Roman"/>
        <w:b w:val="0"/>
        <w:i w:val="0"/>
        <w:strike w:val="0"/>
        <w:color w:val="000000"/>
        <w:sz w:val="24"/>
        <w:szCs w:val="24"/>
        <w:u w:val="none"/>
        <w:shd w:val="clear" w:fill="auto"/>
        <w:vertAlign w:val="baseline"/>
      </w:rPr>
    </w:lvl>
    <w:lvl w:ilvl="7" w:tentative="0">
      <w:start w:val="1"/>
      <w:numFmt w:val="lowerLetter"/>
      <w:lvlText w:val="%8"/>
      <w:lvlJc w:val="left"/>
      <w:pPr>
        <w:ind w:left="5614" w:hanging="5614"/>
      </w:pPr>
      <w:rPr>
        <w:rFonts w:ascii="Times New Roman" w:hAnsi="Times New Roman" w:eastAsia="Times New Roman" w:cs="Times New Roman"/>
        <w:b w:val="0"/>
        <w:i w:val="0"/>
        <w:strike w:val="0"/>
        <w:color w:val="000000"/>
        <w:sz w:val="24"/>
        <w:szCs w:val="24"/>
        <w:u w:val="none"/>
        <w:shd w:val="clear" w:fill="auto"/>
        <w:vertAlign w:val="baseline"/>
      </w:rPr>
    </w:lvl>
    <w:lvl w:ilvl="8" w:tentative="0">
      <w:start w:val="1"/>
      <w:numFmt w:val="lowerRoman"/>
      <w:lvlText w:val="%9"/>
      <w:lvlJc w:val="left"/>
      <w:pPr>
        <w:ind w:left="6334" w:hanging="6334"/>
      </w:pPr>
      <w:rPr>
        <w:rFonts w:ascii="Times New Roman" w:hAnsi="Times New Roman" w:eastAsia="Times New Roman" w:cs="Times New Roman"/>
        <w:b w:val="0"/>
        <w:i w:val="0"/>
        <w:strike w:val="0"/>
        <w:color w:val="000000"/>
        <w:sz w:val="24"/>
        <w:szCs w:val="24"/>
        <w:u w:val="none"/>
        <w:shd w:val="clear"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18"/>
    <w:footnote w:id="19"/>
  </w:footnotePr>
  <w:endnotePr>
    <w:endnote w:id="0"/>
    <w:endnote w:id="1"/>
  </w:endnotePr>
  <w:compat>
    <w:compatSetting w:name="compatibilityMode" w:uri="http://schemas.microsoft.com/office/word" w:val="15"/>
  </w:compat>
  <w:rsids>
    <w:rsidRoot w:val="00000000"/>
    <w:rsid w:val="53FD7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jc w:val="both"/>
    </w:pPr>
    <w:rPr>
      <w:rFonts w:ascii="Arial" w:hAnsi="Arial" w:eastAsia="Arial" w:cs="Arial"/>
      <w:sz w:val="24"/>
      <w:szCs w:val="24"/>
      <w:lang w:val="id"/>
    </w:rPr>
  </w:style>
  <w:style w:type="paragraph" w:styleId="2">
    <w:name w:val="heading 1"/>
    <w:basedOn w:val="1"/>
    <w:next w:val="1"/>
    <w:link w:val="29"/>
    <w:qFormat/>
    <w:uiPriority w:val="0"/>
    <w:pPr>
      <w:spacing w:line="240" w:lineRule="auto"/>
      <w:jc w:val="left"/>
    </w:pPr>
    <w:rPr>
      <w:rFonts w:ascii="Times New Roman" w:hAnsi="Times New Roman" w:eastAsia="Times New Roman" w:cs="Times New Roman"/>
      <w:b/>
      <w:sz w:val="48"/>
      <w:szCs w:val="48"/>
    </w:rPr>
  </w:style>
  <w:style w:type="paragraph" w:styleId="3">
    <w:name w:val="heading 2"/>
    <w:basedOn w:val="1"/>
    <w:next w:val="1"/>
    <w:link w:val="30"/>
    <w:uiPriority w:val="0"/>
    <w:pPr>
      <w:spacing w:line="240" w:lineRule="auto"/>
      <w:jc w:val="left"/>
    </w:pPr>
    <w:rPr>
      <w:rFonts w:ascii="Times New Roman" w:hAnsi="Times New Roman" w:eastAsia="Times New Roman" w:cs="Times New Roman"/>
      <w:b/>
      <w:sz w:val="36"/>
      <w:szCs w:val="36"/>
    </w:rPr>
  </w:style>
  <w:style w:type="paragraph" w:styleId="4">
    <w:name w:val="heading 3"/>
    <w:basedOn w:val="1"/>
    <w:next w:val="1"/>
    <w:link w:val="31"/>
    <w:uiPriority w:val="0"/>
    <w:pPr>
      <w:spacing w:line="240" w:lineRule="auto"/>
      <w:jc w:val="left"/>
    </w:pPr>
    <w:rPr>
      <w:rFonts w:ascii="Times New Roman" w:hAnsi="Times New Roman" w:eastAsia="Times New Roman" w:cs="Times New Roman"/>
      <w:b/>
      <w:sz w:val="27"/>
      <w:szCs w:val="27"/>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34"/>
    <w:semiHidden/>
    <w:unhideWhenUsed/>
    <w:uiPriority w:val="99"/>
    <w:pPr>
      <w:spacing w:after="120"/>
    </w:pPr>
  </w:style>
  <w:style w:type="paragraph" w:styleId="11">
    <w:name w:val="Body Text Indent"/>
    <w:basedOn w:val="1"/>
    <w:link w:val="25"/>
    <w:qFormat/>
    <w:uiPriority w:val="99"/>
    <w:pPr>
      <w:spacing w:after="0" w:line="360" w:lineRule="auto"/>
      <w:ind w:firstLine="720"/>
    </w:pPr>
    <w:rPr>
      <w:rFonts w:ascii="Times New Roman" w:hAnsi="Times New Roman" w:eastAsia="Times New Roman" w:cs="Times New Roman"/>
      <w:kern w:val="0"/>
      <w:szCs w:val="24"/>
      <w:lang w:val="id-ID"/>
    </w:rPr>
  </w:style>
  <w:style w:type="character" w:styleId="12">
    <w:name w:val="Emphasis"/>
    <w:basedOn w:val="8"/>
    <w:qFormat/>
    <w:uiPriority w:val="20"/>
    <w:rPr>
      <w:i/>
      <w:iCs/>
    </w:rPr>
  </w:style>
  <w:style w:type="paragraph" w:styleId="13">
    <w:name w:val="footer"/>
    <w:basedOn w:val="1"/>
    <w:link w:val="33"/>
    <w:unhideWhenUsed/>
    <w:qFormat/>
    <w:uiPriority w:val="99"/>
    <w:pPr>
      <w:tabs>
        <w:tab w:val="center" w:pos="4680"/>
        <w:tab w:val="right" w:pos="9360"/>
      </w:tabs>
      <w:spacing w:after="0" w:line="240" w:lineRule="auto"/>
    </w:pPr>
  </w:style>
  <w:style w:type="character" w:styleId="14">
    <w:name w:val="footnote reference"/>
    <w:basedOn w:val="8"/>
    <w:semiHidden/>
    <w:unhideWhenUsed/>
    <w:qFormat/>
    <w:uiPriority w:val="99"/>
    <w:rPr>
      <w:vertAlign w:val="superscript"/>
    </w:rPr>
  </w:style>
  <w:style w:type="paragraph" w:styleId="15">
    <w:name w:val="footnote text"/>
    <w:basedOn w:val="1"/>
    <w:link w:val="27"/>
    <w:semiHidden/>
    <w:unhideWhenUsed/>
    <w:qFormat/>
    <w:uiPriority w:val="99"/>
    <w:pPr>
      <w:spacing w:after="0" w:line="240" w:lineRule="auto"/>
    </w:pPr>
    <w:rPr>
      <w:sz w:val="20"/>
      <w:szCs w:val="20"/>
    </w:rPr>
  </w:style>
  <w:style w:type="paragraph" w:styleId="16">
    <w:name w:val="header"/>
    <w:basedOn w:val="1"/>
    <w:link w:val="32"/>
    <w:unhideWhenUsed/>
    <w:qFormat/>
    <w:uiPriority w:val="99"/>
    <w:pPr>
      <w:tabs>
        <w:tab w:val="center" w:pos="4680"/>
        <w:tab w:val="right" w:pos="9360"/>
      </w:tabs>
      <w:spacing w:after="0" w:line="240" w:lineRule="auto"/>
    </w:pPr>
  </w:style>
  <w:style w:type="paragraph" w:styleId="17">
    <w:name w:val="HTML Preformatted"/>
    <w:basedOn w:val="1"/>
    <w:link w:val="28"/>
    <w:semiHidden/>
    <w:unhideWhenUsed/>
    <w:uiPriority w:val="99"/>
    <w:pPr>
      <w:spacing w:after="0" w:line="240" w:lineRule="auto"/>
    </w:pPr>
    <w:rPr>
      <w:rFonts w:ascii="Consolas" w:hAnsi="Consolas"/>
      <w:sz w:val="20"/>
      <w:szCs w:val="20"/>
    </w:rPr>
  </w:style>
  <w:style w:type="character" w:styleId="18">
    <w:name w:val="Hyperlink"/>
    <w:basedOn w:val="8"/>
    <w:unhideWhenUsed/>
    <w:qFormat/>
    <w:uiPriority w:val="99"/>
    <w:rPr>
      <w:rFonts w:cs="Times New Roman"/>
      <w:color w:val="0563C1" w:themeColor="hyperlink"/>
      <w:u w:val="single"/>
      <w14:textFill>
        <w14:solidFill>
          <w14:schemeClr w14:val="hlink"/>
        </w14:solidFill>
      </w14:textFill>
    </w:rPr>
  </w:style>
  <w:style w:type="paragraph" w:styleId="19">
    <w:name w:val="Normal (Web)"/>
    <w:basedOn w:val="1"/>
    <w:qFormat/>
    <w:uiPriority w:val="99"/>
    <w:pPr>
      <w:spacing w:before="100" w:beforeAutospacing="1" w:after="100" w:afterAutospacing="1" w:line="240" w:lineRule="auto"/>
      <w:jc w:val="left"/>
    </w:pPr>
    <w:rPr>
      <w:rFonts w:ascii="Arial Unicode MS" w:hAnsi="Arial Unicode MS" w:eastAsia="Times New Roman" w:cs="Arial Unicode MS"/>
      <w:kern w:val="0"/>
      <w:szCs w:val="24"/>
      <w:lang w:val="en-US"/>
    </w:rPr>
  </w:style>
  <w:style w:type="character" w:styleId="20">
    <w:name w:val="Strong"/>
    <w:basedOn w:val="8"/>
    <w:qFormat/>
    <w:uiPriority w:val="22"/>
    <w:rPr>
      <w:b/>
      <w:bCs/>
    </w:rPr>
  </w:style>
  <w:style w:type="paragraph" w:styleId="21">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22">
    <w:name w:val="Title"/>
    <w:basedOn w:val="1"/>
    <w:next w:val="1"/>
    <w:uiPriority w:val="0"/>
    <w:pPr>
      <w:keepNext/>
      <w:keepLines/>
      <w:pageBreakBefore w:val="0"/>
      <w:spacing w:before="480" w:after="120"/>
    </w:pPr>
    <w:rPr>
      <w:b/>
      <w:sz w:val="72"/>
      <w:szCs w:val="72"/>
    </w:rPr>
  </w:style>
  <w:style w:type="table" w:customStyle="1" w:styleId="23">
    <w:name w:val="TableNormal"/>
    <w:uiPriority w:val="0"/>
  </w:style>
  <w:style w:type="character" w:customStyle="1" w:styleId="24">
    <w:name w:val="Unresolved Mention1"/>
    <w:basedOn w:val="8"/>
    <w:semiHidden/>
    <w:unhideWhenUsed/>
    <w:qFormat/>
    <w:uiPriority w:val="99"/>
    <w:rPr>
      <w:color w:val="605E5C"/>
      <w:shd w:val="clear" w:color="auto" w:fill="E1DFDD"/>
    </w:rPr>
  </w:style>
  <w:style w:type="character" w:customStyle="1" w:styleId="25">
    <w:name w:val="Body Text Indent Char"/>
    <w:basedOn w:val="8"/>
    <w:link w:val="11"/>
    <w:qFormat/>
    <w:uiPriority w:val="99"/>
    <w:rPr>
      <w:rFonts w:ascii="Times New Roman" w:hAnsi="Times New Roman" w:eastAsia="Times New Roman" w:cs="Times New Roman"/>
      <w:kern w:val="0"/>
      <w:szCs w:val="24"/>
      <w:lang w:val="id-ID"/>
    </w:rPr>
  </w:style>
  <w:style w:type="paragraph" w:styleId="26">
    <w:name w:val="List Paragraph"/>
    <w:basedOn w:val="1"/>
    <w:qFormat/>
    <w:uiPriority w:val="34"/>
    <w:pPr>
      <w:ind w:left="720"/>
      <w:contextualSpacing/>
    </w:pPr>
  </w:style>
  <w:style w:type="character" w:customStyle="1" w:styleId="27">
    <w:name w:val="Footnote Text Char"/>
    <w:basedOn w:val="8"/>
    <w:link w:val="15"/>
    <w:semiHidden/>
    <w:uiPriority w:val="99"/>
    <w:rPr>
      <w:sz w:val="20"/>
      <w:szCs w:val="20"/>
    </w:rPr>
  </w:style>
  <w:style w:type="character" w:customStyle="1" w:styleId="28">
    <w:name w:val="HTML Preformatted Char"/>
    <w:basedOn w:val="8"/>
    <w:link w:val="17"/>
    <w:semiHidden/>
    <w:uiPriority w:val="99"/>
    <w:rPr>
      <w:rFonts w:ascii="Consolas" w:hAnsi="Consolas"/>
      <w:sz w:val="20"/>
      <w:szCs w:val="20"/>
    </w:rPr>
  </w:style>
  <w:style w:type="character" w:customStyle="1" w:styleId="29">
    <w:name w:val="Heading 1 Char"/>
    <w:basedOn w:val="8"/>
    <w:link w:val="2"/>
    <w:uiPriority w:val="9"/>
    <w:rPr>
      <w:rFonts w:ascii="Times New Roman" w:hAnsi="Times New Roman" w:eastAsia="Times New Roman" w:cs="Times New Roman"/>
      <w:b/>
      <w:bCs/>
      <w:kern w:val="36"/>
      <w:sz w:val="48"/>
      <w:szCs w:val="48"/>
      <w:lang w:val="en-US"/>
    </w:rPr>
  </w:style>
  <w:style w:type="character" w:customStyle="1" w:styleId="30">
    <w:name w:val="Heading 2 Char"/>
    <w:basedOn w:val="8"/>
    <w:link w:val="3"/>
    <w:qFormat/>
    <w:uiPriority w:val="9"/>
    <w:rPr>
      <w:rFonts w:ascii="Times New Roman" w:hAnsi="Times New Roman" w:eastAsia="Times New Roman" w:cs="Times New Roman"/>
      <w:b/>
      <w:bCs/>
      <w:kern w:val="0"/>
      <w:sz w:val="36"/>
      <w:szCs w:val="36"/>
      <w:lang w:val="en-US"/>
    </w:rPr>
  </w:style>
  <w:style w:type="character" w:customStyle="1" w:styleId="31">
    <w:name w:val="Heading 3 Char"/>
    <w:basedOn w:val="8"/>
    <w:link w:val="4"/>
    <w:qFormat/>
    <w:uiPriority w:val="9"/>
    <w:rPr>
      <w:rFonts w:ascii="Times New Roman" w:hAnsi="Times New Roman" w:eastAsia="Times New Roman" w:cs="Times New Roman"/>
      <w:b/>
      <w:bCs/>
      <w:kern w:val="0"/>
      <w:sz w:val="27"/>
      <w:szCs w:val="27"/>
      <w:lang w:val="en-US"/>
    </w:rPr>
  </w:style>
  <w:style w:type="character" w:customStyle="1" w:styleId="32">
    <w:name w:val="Header Char"/>
    <w:basedOn w:val="8"/>
    <w:link w:val="16"/>
    <w:uiPriority w:val="99"/>
  </w:style>
  <w:style w:type="character" w:customStyle="1" w:styleId="33">
    <w:name w:val="Footer Char"/>
    <w:basedOn w:val="8"/>
    <w:link w:val="13"/>
    <w:qFormat/>
    <w:uiPriority w:val="99"/>
  </w:style>
  <w:style w:type="character" w:customStyle="1" w:styleId="34">
    <w:name w:val="Body Text Char"/>
    <w:basedOn w:val="8"/>
    <w:link w:val="10"/>
    <w:semiHidden/>
    <w:uiPriority w:val="99"/>
  </w:style>
  <w:style w:type="table" w:customStyle="1" w:styleId="35">
    <w:name w:val="TableGrid"/>
    <w:uiPriority w:val="0"/>
    <w:pPr>
      <w:spacing w:after="0" w:line="240" w:lineRule="auto"/>
      <w:jc w:val="left"/>
    </w:pPr>
    <w:rPr>
      <w:rFonts w:asciiTheme="minorHAnsi" w:hAnsiTheme="minorHAnsi" w:eastAsiaTheme="minorEastAsia"/>
      <w:szCs w:val="24"/>
      <w:lang w:eastAsia="zh-CN"/>
    </w:rPr>
    <w:tblPr>
      <w:tblCellMar>
        <w:top w:w="0" w:type="dxa"/>
        <w:left w:w="0" w:type="dxa"/>
        <w:bottom w:w="0" w:type="dxa"/>
        <w:right w:w="0" w:type="dxa"/>
      </w:tblCellMar>
    </w:tblPr>
  </w:style>
  <w:style w:type="character" w:customStyle="1" w:styleId="36">
    <w:name w:val="Unresolved Mention"/>
    <w:basedOn w:val="8"/>
    <w:semiHidden/>
    <w:unhideWhenUsed/>
    <w:uiPriority w:val="99"/>
    <w:rPr>
      <w:color w:val="605E5C"/>
      <w:shd w:val="clear" w:color="auto" w:fill="E1DFDD"/>
    </w:rPr>
  </w:style>
  <w:style w:type="table" w:customStyle="1" w:styleId="37">
    <w:name w:val="_Style 36"/>
    <w:basedOn w:val="23"/>
    <w:uiPriority w:val="0"/>
    <w:pPr>
      <w:spacing w:after="0" w:line="240" w:lineRule="auto"/>
      <w:jc w:val="left"/>
    </w:pPr>
    <w:rPr>
      <w:rFonts w:ascii="Calibri" w:hAnsi="Calibri" w:eastAsia="Calibri" w:cs="Calibri"/>
    </w:rPr>
    <w:tblPr>
      <w:tblCellMar>
        <w:top w:w="7" w:type="dxa"/>
        <w:left w:w="110" w:type="dxa"/>
        <w:bottom w:w="0" w:type="dxa"/>
        <w:right w:w="115" w:type="dxa"/>
      </w:tblCellMar>
    </w:tblPr>
  </w:style>
  <w:style w:type="table" w:customStyle="1" w:styleId="38">
    <w:name w:val="_Style 37"/>
    <w:basedOn w:val="23"/>
    <w:qFormat/>
    <w:uiPriority w:val="0"/>
    <w:pPr>
      <w:spacing w:after="0" w:line="240" w:lineRule="auto"/>
      <w:jc w:val="left"/>
    </w:pPr>
    <w:rPr>
      <w:rFonts w:ascii="Calibri" w:hAnsi="Calibri" w:eastAsia="Calibri" w:cs="Calibri"/>
    </w:rPr>
    <w:tblPr>
      <w:tblCellMar>
        <w:top w:w="39" w:type="dxa"/>
        <w:left w:w="110" w:type="dxa"/>
        <w:bottom w:w="0" w:type="dxa"/>
        <w:right w:w="50" w:type="dxa"/>
      </w:tblCellMar>
    </w:tblPr>
  </w:style>
  <w:style w:type="table" w:customStyle="1" w:styleId="39">
    <w:name w:val="_Style 38"/>
    <w:basedOn w:val="23"/>
    <w:qFormat/>
    <w:uiPriority w:val="0"/>
    <w:pPr>
      <w:spacing w:after="0" w:line="240" w:lineRule="auto"/>
      <w:jc w:val="left"/>
    </w:pPr>
    <w:rPr>
      <w:rFonts w:ascii="Calibri" w:hAnsi="Calibri" w:eastAsia="Calibri" w:cs="Calibri"/>
    </w:rPr>
    <w:tblPr>
      <w:tblCellMar>
        <w:top w:w="39" w:type="dxa"/>
        <w:left w:w="110" w:type="dxa"/>
        <w:bottom w:w="0" w:type="dxa"/>
        <w:right w:w="5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FIIJpV9SN3HXduxXWNd244YyA==">CgMxLjAyDmguMmd4ZGd3bjh6cnc2Mg5oLmZoMXZveWMyY243NTgAciExNjZFU25WaUxHV2pPS21aTVpUZTZNdUZnYWZZUEg0MU4=</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11</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2025-08-07T08:48:00Z</dcterms:created>
  <dc:creator>Windows</dc:creator>
  <cp:lastModifiedBy>Silfa Safitri</cp:lastModifiedBy>
  <dcterms:modified xsi:type="dcterms:W3CDTF">2025-08-23T06:54:33Z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368bd5c70a899233f295ff1a36cce2eda5f545c08c540c5f85252dc96c096105</vt:lpwstr>
  </property>
  <property fmtid="{D5CDD505-2E9C-101B-9397-08002B2CF9AE}" pid="3" name="Mendeley Document_1">
    <vt:lpwstr>True</vt:lpwstr>
  </property>
  <property fmtid="{D5CDD505-2E9C-101B-9397-08002B2CF9AE}" pid="4" name="Mendeley Citation Style_1">
    <vt:lpwstr>http://www.zotero.org/styles/turabian-fullnote-bibliography</vt:lpwstr>
  </property>
  <property fmtid="{D5CDD505-2E9C-101B-9397-08002B2CF9AE}" pid="5" name="Mendeley Unique User Id_1">
    <vt:lpwstr>fb15a0eb-54fe-3428-a72e-645b8d6a4977</vt:lpwstr>
  </property>
  <property fmtid="{D5CDD505-2E9C-101B-9397-08002B2CF9AE}" pid="6" name="Mendeley Recent Style Id 0_1">
    <vt:lpwstr>http://www.zotero.org/styles/apa-6th-edition</vt:lpwstr>
  </property>
  <property fmtid="{D5CDD505-2E9C-101B-9397-08002B2CF9AE}" pid="7" name="Mendeley Recent Style Name 0_1">
    <vt:lpwstr>American Psychological Association 6th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9th edition (full note)</vt:lpwstr>
  </property>
  <property fmtid="{D5CDD505-2E9C-101B-9397-08002B2CF9AE}" pid="26" name="KSOProductBuildVer">
    <vt:lpwstr>1033-12.2.0.21931</vt:lpwstr>
  </property>
  <property fmtid="{D5CDD505-2E9C-101B-9397-08002B2CF9AE}" pid="27" name="ICV">
    <vt:lpwstr>CD5F252CB4C2445BAB257353D999E120_13</vt:lpwstr>
  </property>
</Properties>
</file>